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C55B" w14:textId="77777777" w:rsidR="00D84BF6" w:rsidRPr="00922CEE" w:rsidRDefault="00D84BF6" w:rsidP="00D84BF6">
      <w:pPr>
        <w:jc w:val="center"/>
        <w:rPr>
          <w:b/>
          <w:sz w:val="20"/>
          <w:szCs w:val="20"/>
        </w:rPr>
      </w:pPr>
      <w:bookmarkStart w:id="0" w:name="_GoBack"/>
      <w:bookmarkEnd w:id="0"/>
      <w:r w:rsidRPr="00922CEE">
        <w:rPr>
          <w:b/>
          <w:sz w:val="20"/>
          <w:szCs w:val="20"/>
        </w:rPr>
        <w:t>Court Order to Disclose Confidential Information</w:t>
      </w:r>
    </w:p>
    <w:p w14:paraId="1F44F6D2" w14:textId="77777777" w:rsidR="00D84BF6" w:rsidRPr="00922CEE" w:rsidRDefault="00E43F81">
      <w:pPr>
        <w:rPr>
          <w:sz w:val="20"/>
          <w:szCs w:val="20"/>
        </w:rPr>
      </w:pPr>
      <w:r w:rsidRPr="00922CEE">
        <w:rPr>
          <w:b/>
          <w:sz w:val="20"/>
          <w:szCs w:val="20"/>
        </w:rPr>
        <w:t>Health Information—</w:t>
      </w:r>
      <w:r w:rsidR="00D84BF6" w:rsidRPr="00922CEE">
        <w:rPr>
          <w:b/>
          <w:sz w:val="20"/>
          <w:szCs w:val="20"/>
        </w:rPr>
        <w:t>HIPAA Privacy Rule, 45 C.F.R 164.512(c)</w:t>
      </w:r>
      <w:r w:rsidR="00D84BF6" w:rsidRPr="00922CEE">
        <w:rPr>
          <w:sz w:val="20"/>
          <w:szCs w:val="20"/>
        </w:rPr>
        <w:t xml:space="preserve">—A covered entity may disclose protected health information in response to an order of a court, provided that it discloses only the information expressly authorized by the order. </w:t>
      </w:r>
    </w:p>
    <w:p w14:paraId="33BDAA0F" w14:textId="77777777" w:rsidR="00CA0E29" w:rsidRPr="00922CEE" w:rsidRDefault="00E43F81" w:rsidP="00CA0E29">
      <w:pPr>
        <w:rPr>
          <w:sz w:val="20"/>
          <w:szCs w:val="20"/>
        </w:rPr>
      </w:pPr>
      <w:r w:rsidRPr="00922CEE">
        <w:rPr>
          <w:b/>
          <w:sz w:val="20"/>
          <w:szCs w:val="20"/>
        </w:rPr>
        <w:t>Mental Health, Developmental Disabilities, and Substance Abuse Services—</w:t>
      </w:r>
      <w:r w:rsidR="00CA0E29" w:rsidRPr="00922CEE">
        <w:rPr>
          <w:b/>
          <w:sz w:val="20"/>
          <w:szCs w:val="20"/>
        </w:rPr>
        <w:t>G.S. 122C-54(a)</w:t>
      </w:r>
      <w:r w:rsidR="00CA0E29" w:rsidRPr="00922CEE">
        <w:rPr>
          <w:sz w:val="20"/>
          <w:szCs w:val="20"/>
        </w:rPr>
        <w:t xml:space="preserve">—A facility shall disclose confidential information if a court of competent jurisdiction issue an order compelling disclosure. </w:t>
      </w:r>
    </w:p>
    <w:p w14:paraId="0E31DE24" w14:textId="77777777" w:rsidR="00CA0E29" w:rsidRPr="00922CEE" w:rsidRDefault="00E43F81" w:rsidP="00CA0E29">
      <w:pPr>
        <w:pStyle w:val="aSection"/>
        <w:rPr>
          <w:rFonts w:asciiTheme="minorHAnsi" w:hAnsiTheme="minorHAnsi"/>
          <w:sz w:val="20"/>
          <w:szCs w:val="20"/>
        </w:rPr>
      </w:pPr>
      <w:r w:rsidRPr="00922CEE">
        <w:rPr>
          <w:rFonts w:asciiTheme="minorHAnsi" w:hAnsiTheme="minorHAnsi"/>
          <w:sz w:val="20"/>
          <w:szCs w:val="20"/>
        </w:rPr>
        <w:t>AIDS Virus Infection and Reportable Communicable Disease—</w:t>
      </w:r>
      <w:r w:rsidR="00CA0E29" w:rsidRPr="00922CEE">
        <w:rPr>
          <w:rFonts w:asciiTheme="minorHAnsi" w:hAnsiTheme="minorHAnsi"/>
          <w:sz w:val="20"/>
          <w:szCs w:val="20"/>
        </w:rPr>
        <w:t>G.S. 130A-143</w:t>
      </w:r>
      <w:r w:rsidR="00CA0E29" w:rsidRPr="00922CEE">
        <w:rPr>
          <w:rFonts w:asciiTheme="minorHAnsi" w:hAnsiTheme="minorHAnsi"/>
          <w:b w:val="0"/>
          <w:sz w:val="20"/>
          <w:szCs w:val="20"/>
        </w:rPr>
        <w:t xml:space="preserve">—Information shall </w:t>
      </w:r>
    </w:p>
    <w:p w14:paraId="2A23B2A4" w14:textId="77777777" w:rsidR="00CA0E29" w:rsidRPr="00922CEE" w:rsidRDefault="00E43F81" w:rsidP="00CA0E29">
      <w:pPr>
        <w:pStyle w:val="aMargin1"/>
        <w:ind w:firstLine="0"/>
        <w:rPr>
          <w:rFonts w:asciiTheme="minorHAnsi" w:hAnsiTheme="minorHAnsi"/>
          <w:sz w:val="20"/>
          <w:szCs w:val="20"/>
        </w:rPr>
      </w:pPr>
      <w:r w:rsidRPr="00922CEE">
        <w:rPr>
          <w:rFonts w:asciiTheme="minorHAnsi" w:hAnsiTheme="minorHAnsi"/>
          <w:sz w:val="20"/>
          <w:szCs w:val="20"/>
        </w:rPr>
        <w:t xml:space="preserve">not be released unless release is made pursuant to a subpoena </w:t>
      </w:r>
      <w:r w:rsidR="00CA0E29" w:rsidRPr="00922CEE">
        <w:rPr>
          <w:rFonts w:asciiTheme="minorHAnsi" w:hAnsiTheme="minorHAnsi"/>
          <w:sz w:val="20"/>
          <w:szCs w:val="20"/>
        </w:rPr>
        <w:t>or court order. Upon request of the person identified in the record, the record shall be reviewed in camera. In the trial, the trial judge may, during the taking of testimony concerning such information, exclude from the courtroom all persons except the officers of the court, the parties and those engaged in the trial of the case.</w:t>
      </w:r>
    </w:p>
    <w:p w14:paraId="368913D2" w14:textId="77777777" w:rsidR="00CA0E29" w:rsidRPr="00922CEE" w:rsidRDefault="00CA0E29" w:rsidP="00CA0E29">
      <w:pPr>
        <w:pStyle w:val="aMargin1"/>
        <w:ind w:firstLine="0"/>
        <w:rPr>
          <w:rFonts w:asciiTheme="minorHAnsi" w:hAnsiTheme="minorHAnsi"/>
          <w:sz w:val="20"/>
          <w:szCs w:val="20"/>
        </w:rPr>
      </w:pPr>
    </w:p>
    <w:p w14:paraId="43CA3BC0" w14:textId="77777777" w:rsidR="00D84BF6" w:rsidRPr="00922CEE" w:rsidRDefault="00E43F81">
      <w:pPr>
        <w:rPr>
          <w:sz w:val="20"/>
          <w:szCs w:val="20"/>
        </w:rPr>
      </w:pPr>
      <w:r w:rsidRPr="00922CEE">
        <w:rPr>
          <w:b/>
          <w:sz w:val="20"/>
          <w:szCs w:val="20"/>
        </w:rPr>
        <w:t>Treatment Relationships with Certain Professionals—</w:t>
      </w:r>
      <w:r w:rsidR="00D84BF6" w:rsidRPr="00922CEE">
        <w:rPr>
          <w:b/>
          <w:sz w:val="20"/>
          <w:szCs w:val="20"/>
        </w:rPr>
        <w:t>G.S. 8-53 et. seq.</w:t>
      </w:r>
      <w:r w:rsidR="00D84BF6" w:rsidRPr="00922CEE">
        <w:rPr>
          <w:sz w:val="20"/>
          <w:szCs w:val="20"/>
        </w:rPr>
        <w:t xml:space="preserve"> </w:t>
      </w:r>
      <w:r w:rsidRPr="00922CEE">
        <w:rPr>
          <w:sz w:val="20"/>
          <w:szCs w:val="20"/>
        </w:rPr>
        <w:t>–</w:t>
      </w:r>
      <w:r w:rsidR="00D84BF6" w:rsidRPr="00922CEE">
        <w:rPr>
          <w:sz w:val="20"/>
          <w:szCs w:val="20"/>
        </w:rPr>
        <w:t>Any resident or p</w:t>
      </w:r>
      <w:r w:rsidRPr="00922CEE">
        <w:rPr>
          <w:sz w:val="20"/>
          <w:szCs w:val="20"/>
        </w:rPr>
        <w:t xml:space="preserve">residing judge in the district . . . may . . . </w:t>
      </w:r>
      <w:r w:rsidR="00D84BF6" w:rsidRPr="00922CEE">
        <w:rPr>
          <w:sz w:val="20"/>
          <w:szCs w:val="20"/>
        </w:rPr>
        <w:t xml:space="preserve">compel disclosure if in his opinion </w:t>
      </w:r>
      <w:r w:rsidR="00D84BF6" w:rsidRPr="00922CEE">
        <w:rPr>
          <w:i/>
          <w:sz w:val="20"/>
          <w:szCs w:val="20"/>
        </w:rPr>
        <w:t>disclosure is necessary to a proper administration of justice</w:t>
      </w:r>
      <w:r w:rsidR="00D84BF6" w:rsidRPr="00922CEE">
        <w:rPr>
          <w:sz w:val="20"/>
          <w:szCs w:val="20"/>
        </w:rPr>
        <w:t>. If the case is in district court the judge shall be a district court judge, and if the case is in superior court the judge shall be a superior court judge.</w:t>
      </w:r>
    </w:p>
    <w:p w14:paraId="40631422" w14:textId="77777777" w:rsidR="00D84BF6" w:rsidRPr="00922CEE" w:rsidRDefault="00FF4A9A" w:rsidP="00FF4A9A">
      <w:pPr>
        <w:pStyle w:val="BodyTextIndent3"/>
        <w:ind w:left="0"/>
        <w:rPr>
          <w:rFonts w:asciiTheme="minorHAnsi" w:hAnsiTheme="minorHAnsi"/>
          <w:i/>
          <w:sz w:val="20"/>
        </w:rPr>
      </w:pPr>
      <w:r w:rsidRPr="00922CEE">
        <w:rPr>
          <w:rFonts w:asciiTheme="minorHAnsi" w:hAnsiTheme="minorHAnsi"/>
          <w:sz w:val="20"/>
        </w:rPr>
        <w:t xml:space="preserve">State v. Efird, 309 N.C. 802, 309 S.E.2d 228 (1983). The statute affords the trial judge wide discretion in determining what is necessary for the proper administration of justice. </w:t>
      </w:r>
      <w:r w:rsidR="00D84BF6" w:rsidRPr="00922CEE">
        <w:rPr>
          <w:rFonts w:asciiTheme="minorHAnsi" w:hAnsiTheme="minorHAnsi"/>
          <w:sz w:val="20"/>
        </w:rPr>
        <w:t xml:space="preserve">Flora v. Hamilton, 81 F.R.D 576 (M.D.N.C 1978).  Judges should not hesitate where it appears to them that </w:t>
      </w:r>
      <w:r w:rsidR="00D84BF6" w:rsidRPr="00922CEE">
        <w:rPr>
          <w:rFonts w:asciiTheme="minorHAnsi" w:hAnsiTheme="minorHAnsi"/>
          <w:i/>
          <w:sz w:val="20"/>
        </w:rPr>
        <w:t>disclosure is</w:t>
      </w:r>
      <w:r w:rsidR="00D84BF6" w:rsidRPr="00922CEE">
        <w:rPr>
          <w:rFonts w:asciiTheme="minorHAnsi" w:hAnsiTheme="minorHAnsi"/>
          <w:sz w:val="20"/>
        </w:rPr>
        <w:t xml:space="preserve"> </w:t>
      </w:r>
      <w:r w:rsidR="00D84BF6" w:rsidRPr="00922CEE">
        <w:rPr>
          <w:rFonts w:asciiTheme="minorHAnsi" w:hAnsiTheme="minorHAnsi"/>
          <w:i/>
          <w:sz w:val="20"/>
        </w:rPr>
        <w:t xml:space="preserve">necessary in order that the truth be known and justice done. </w:t>
      </w:r>
    </w:p>
    <w:p w14:paraId="34083EF5" w14:textId="77777777" w:rsidR="00CA0E29" w:rsidRPr="00922CEE" w:rsidRDefault="00CA0E29" w:rsidP="00D84BF6">
      <w:pPr>
        <w:pStyle w:val="BodyTextIndent3"/>
        <w:ind w:left="720"/>
        <w:rPr>
          <w:rFonts w:asciiTheme="minorHAnsi" w:hAnsiTheme="minorHAnsi"/>
          <w:sz w:val="20"/>
        </w:rPr>
      </w:pPr>
    </w:p>
    <w:p w14:paraId="3B641858" w14:textId="77777777" w:rsidR="00E43F81" w:rsidRPr="00922CEE" w:rsidRDefault="00E43F81" w:rsidP="00E43F81">
      <w:pPr>
        <w:spacing w:after="0" w:line="240" w:lineRule="auto"/>
        <w:rPr>
          <w:sz w:val="20"/>
          <w:szCs w:val="20"/>
        </w:rPr>
      </w:pPr>
      <w:r w:rsidRPr="00922CEE">
        <w:rPr>
          <w:b/>
          <w:sz w:val="20"/>
          <w:szCs w:val="20"/>
        </w:rPr>
        <w:t>Substance Abuse Treatment Records—42 C.F.R. §</w:t>
      </w:r>
      <w:r w:rsidR="00FF4A9A" w:rsidRPr="00922CEE">
        <w:rPr>
          <w:b/>
          <w:sz w:val="20"/>
          <w:szCs w:val="20"/>
        </w:rPr>
        <w:t xml:space="preserve">§ </w:t>
      </w:r>
      <w:r w:rsidRPr="00922CEE">
        <w:rPr>
          <w:b/>
          <w:sz w:val="20"/>
          <w:szCs w:val="20"/>
        </w:rPr>
        <w:t>2.64</w:t>
      </w:r>
      <w:r w:rsidR="00FF4A9A" w:rsidRPr="00922CEE">
        <w:rPr>
          <w:b/>
          <w:sz w:val="20"/>
          <w:szCs w:val="20"/>
        </w:rPr>
        <w:t>, 2.65</w:t>
      </w:r>
      <w:r w:rsidRPr="00922CEE">
        <w:rPr>
          <w:b/>
          <w:sz w:val="20"/>
          <w:szCs w:val="20"/>
        </w:rPr>
        <w:t>—</w:t>
      </w:r>
      <w:r w:rsidRPr="00922CEE">
        <w:rPr>
          <w:sz w:val="20"/>
          <w:szCs w:val="20"/>
        </w:rPr>
        <w:t>the co</w:t>
      </w:r>
      <w:r w:rsidR="00573D58">
        <w:rPr>
          <w:sz w:val="20"/>
          <w:szCs w:val="20"/>
        </w:rPr>
        <w:t>urt may order disclosure only if</w:t>
      </w:r>
      <w:r w:rsidRPr="00922CEE">
        <w:rPr>
          <w:sz w:val="20"/>
          <w:szCs w:val="20"/>
        </w:rPr>
        <w:t xml:space="preserve"> the court finds that good cause exists. To make this determination, the court must find that:</w:t>
      </w:r>
    </w:p>
    <w:p w14:paraId="0A06AB8F" w14:textId="77777777" w:rsidR="00A80017" w:rsidRDefault="00A80017" w:rsidP="00E43F81">
      <w:pPr>
        <w:pStyle w:val="BodyTextIndent3"/>
        <w:ind w:left="0"/>
        <w:rPr>
          <w:rFonts w:asciiTheme="minorHAnsi" w:hAnsiTheme="minorHAnsi"/>
          <w:sz w:val="20"/>
          <w:u w:val="single"/>
        </w:rPr>
      </w:pPr>
    </w:p>
    <w:p w14:paraId="3CF03A48" w14:textId="77777777" w:rsidR="00E43F81" w:rsidRPr="00922CEE" w:rsidRDefault="00FF4A9A" w:rsidP="00E43F81">
      <w:pPr>
        <w:pStyle w:val="BodyTextIndent3"/>
        <w:ind w:left="0"/>
        <w:rPr>
          <w:rFonts w:asciiTheme="minorHAnsi" w:hAnsiTheme="minorHAnsi"/>
          <w:sz w:val="20"/>
          <w:u w:val="single"/>
        </w:rPr>
      </w:pPr>
      <w:r w:rsidRPr="00922CEE">
        <w:rPr>
          <w:rFonts w:asciiTheme="minorHAnsi" w:hAnsiTheme="minorHAnsi"/>
          <w:sz w:val="20"/>
          <w:u w:val="single"/>
        </w:rPr>
        <w:t>Civil cases</w:t>
      </w:r>
    </w:p>
    <w:p w14:paraId="66F8B1DF" w14:textId="77777777" w:rsidR="00CA0E29" w:rsidRPr="00922CEE" w:rsidRDefault="00CA0E29" w:rsidP="00E43F81">
      <w:pPr>
        <w:numPr>
          <w:ilvl w:val="0"/>
          <w:numId w:val="3"/>
        </w:numPr>
        <w:spacing w:after="0" w:line="240" w:lineRule="auto"/>
        <w:rPr>
          <w:sz w:val="20"/>
          <w:szCs w:val="20"/>
        </w:rPr>
      </w:pPr>
      <w:r w:rsidRPr="00922CEE">
        <w:rPr>
          <w:sz w:val="20"/>
          <w:szCs w:val="20"/>
        </w:rPr>
        <w:t>Other ways of obtaining the information are not available or would not be effective, and</w:t>
      </w:r>
    </w:p>
    <w:p w14:paraId="6DCCB06B" w14:textId="77777777" w:rsidR="00D84BF6" w:rsidRDefault="00CA0E29" w:rsidP="003035C6">
      <w:pPr>
        <w:numPr>
          <w:ilvl w:val="0"/>
          <w:numId w:val="3"/>
        </w:numPr>
        <w:spacing w:after="0" w:line="240" w:lineRule="auto"/>
        <w:rPr>
          <w:sz w:val="20"/>
          <w:szCs w:val="20"/>
        </w:rPr>
      </w:pPr>
      <w:r w:rsidRPr="00922CEE">
        <w:rPr>
          <w:sz w:val="20"/>
          <w:szCs w:val="20"/>
        </w:rPr>
        <w:t xml:space="preserve">The public interest and need for disclosure outweigh the potential injury to the patient, the </w:t>
      </w:r>
      <w:r w:rsidR="002C4876">
        <w:rPr>
          <w:sz w:val="20"/>
          <w:szCs w:val="20"/>
        </w:rPr>
        <w:t>physician-patient's</w:t>
      </w:r>
      <w:r w:rsidRPr="00922CEE">
        <w:rPr>
          <w:sz w:val="20"/>
          <w:szCs w:val="20"/>
        </w:rPr>
        <w:t xml:space="preserve"> relationship, and the program's treatment services. </w:t>
      </w:r>
    </w:p>
    <w:p w14:paraId="6098F51A" w14:textId="77777777" w:rsidR="002C4876" w:rsidRPr="00922CEE" w:rsidRDefault="00A80017" w:rsidP="002C4876">
      <w:pPr>
        <w:spacing w:after="0" w:line="240" w:lineRule="auto"/>
        <w:rPr>
          <w:sz w:val="20"/>
          <w:szCs w:val="20"/>
        </w:rPr>
      </w:pPr>
      <w:r>
        <w:rPr>
          <w:sz w:val="20"/>
          <w:szCs w:val="20"/>
        </w:rPr>
        <w:t>The c</w:t>
      </w:r>
      <w:r w:rsidR="002C4876">
        <w:rPr>
          <w:sz w:val="20"/>
          <w:szCs w:val="20"/>
        </w:rPr>
        <w:t>ourt must</w:t>
      </w:r>
      <w:r>
        <w:rPr>
          <w:sz w:val="20"/>
          <w:szCs w:val="20"/>
        </w:rPr>
        <w:t xml:space="preserve"> also</w:t>
      </w:r>
      <w:r w:rsidR="002C4876">
        <w:rPr>
          <w:sz w:val="20"/>
          <w:szCs w:val="20"/>
        </w:rPr>
        <w:t>:</w:t>
      </w:r>
    </w:p>
    <w:p w14:paraId="66FFC694" w14:textId="77777777" w:rsidR="002C4876" w:rsidRDefault="002C4876" w:rsidP="002C4876">
      <w:pPr>
        <w:pStyle w:val="ListParagraph"/>
        <w:numPr>
          <w:ilvl w:val="0"/>
          <w:numId w:val="6"/>
        </w:numPr>
        <w:spacing w:after="0" w:line="240" w:lineRule="auto"/>
        <w:rPr>
          <w:sz w:val="20"/>
          <w:szCs w:val="20"/>
        </w:rPr>
      </w:pPr>
      <w:r>
        <w:rPr>
          <w:sz w:val="20"/>
          <w:szCs w:val="20"/>
        </w:rPr>
        <w:t>Limit disclosure t</w:t>
      </w:r>
      <w:r w:rsidRPr="00922CEE">
        <w:rPr>
          <w:sz w:val="20"/>
          <w:szCs w:val="20"/>
        </w:rPr>
        <w:t xml:space="preserve">o those </w:t>
      </w:r>
      <w:r>
        <w:rPr>
          <w:sz w:val="20"/>
          <w:szCs w:val="20"/>
        </w:rPr>
        <w:t xml:space="preserve">persons whose need for information is the basis for the order, </w:t>
      </w:r>
    </w:p>
    <w:p w14:paraId="7D71F753" w14:textId="77777777" w:rsidR="002C4876" w:rsidRDefault="002C4876" w:rsidP="002C4876">
      <w:pPr>
        <w:pStyle w:val="ListParagraph"/>
        <w:numPr>
          <w:ilvl w:val="0"/>
          <w:numId w:val="6"/>
        </w:numPr>
        <w:spacing w:after="0" w:line="240" w:lineRule="auto"/>
        <w:rPr>
          <w:sz w:val="20"/>
          <w:szCs w:val="20"/>
        </w:rPr>
      </w:pPr>
      <w:r>
        <w:rPr>
          <w:sz w:val="20"/>
          <w:szCs w:val="20"/>
        </w:rPr>
        <w:t xml:space="preserve">Limit disclosure to those parts of the record that are essential to fulfill the objective of the order, and </w:t>
      </w:r>
    </w:p>
    <w:p w14:paraId="182A2A02" w14:textId="77777777" w:rsidR="002C4876" w:rsidRPr="00922CEE" w:rsidRDefault="002C4876" w:rsidP="002C4876">
      <w:pPr>
        <w:pStyle w:val="ListParagraph"/>
        <w:numPr>
          <w:ilvl w:val="0"/>
          <w:numId w:val="6"/>
        </w:numPr>
        <w:spacing w:after="0" w:line="240" w:lineRule="auto"/>
        <w:rPr>
          <w:sz w:val="20"/>
          <w:szCs w:val="20"/>
        </w:rPr>
      </w:pPr>
      <w:r w:rsidRPr="00922CEE">
        <w:rPr>
          <w:sz w:val="20"/>
          <w:szCs w:val="20"/>
        </w:rPr>
        <w:t>Include such other measures as are necessary to limit the disclosure</w:t>
      </w:r>
      <w:r>
        <w:rPr>
          <w:sz w:val="20"/>
          <w:szCs w:val="20"/>
        </w:rPr>
        <w:t xml:space="preserve"> for the protection of the patient, the physician-patient relationship and the treatment services; for example, sealing from public scrutiny the record of any proceeding for which disclosure of a patient’s record has been ordered. </w:t>
      </w:r>
    </w:p>
    <w:p w14:paraId="249A5623" w14:textId="77777777" w:rsidR="00FF4A9A" w:rsidRPr="00922CEE" w:rsidRDefault="006770B7" w:rsidP="00FF4A9A">
      <w:pPr>
        <w:spacing w:after="0" w:line="240" w:lineRule="auto"/>
        <w:rPr>
          <w:sz w:val="20"/>
          <w:szCs w:val="20"/>
        </w:rPr>
      </w:pPr>
      <w:r w:rsidRPr="00922CEE">
        <w:rPr>
          <w:sz w:val="20"/>
          <w:szCs w:val="20"/>
        </w:rPr>
        <w:t xml:space="preserve"> </w:t>
      </w:r>
      <w:r w:rsidR="00FF4A9A" w:rsidRPr="00922CEE">
        <w:rPr>
          <w:sz w:val="20"/>
          <w:szCs w:val="20"/>
          <w:u w:val="single"/>
        </w:rPr>
        <w:t>Criminal cases</w:t>
      </w:r>
      <w:r w:rsidR="00FF4A9A" w:rsidRPr="00922CEE">
        <w:rPr>
          <w:sz w:val="20"/>
          <w:szCs w:val="20"/>
        </w:rPr>
        <w:t xml:space="preserve">—in addition to 1. and 2., above, the court must find: </w:t>
      </w:r>
    </w:p>
    <w:p w14:paraId="4FE73429" w14:textId="77777777" w:rsidR="00252F15" w:rsidRPr="00922CEE" w:rsidRDefault="00922CEE" w:rsidP="00FF4A9A">
      <w:pPr>
        <w:numPr>
          <w:ilvl w:val="0"/>
          <w:numId w:val="4"/>
        </w:numPr>
        <w:spacing w:after="0" w:line="240" w:lineRule="auto"/>
        <w:rPr>
          <w:sz w:val="20"/>
          <w:szCs w:val="20"/>
        </w:rPr>
      </w:pPr>
      <w:r w:rsidRPr="00922CEE">
        <w:rPr>
          <w:sz w:val="20"/>
          <w:szCs w:val="20"/>
        </w:rPr>
        <w:t xml:space="preserve">The crime involved is extremely serious, such as one </w:t>
      </w:r>
      <w:r w:rsidR="00FF4A9A" w:rsidRPr="00922CEE">
        <w:rPr>
          <w:sz w:val="20"/>
          <w:szCs w:val="20"/>
        </w:rPr>
        <w:t>that causes or directly threatens loss of life or serious bodily injury including homicide, rape, kidnapping, armed robbery, assault w/deadly weapon, and child abuse and neglect</w:t>
      </w:r>
    </w:p>
    <w:p w14:paraId="73C8F29E" w14:textId="77777777" w:rsidR="00252F15" w:rsidRPr="00922CEE" w:rsidRDefault="00FF4A9A" w:rsidP="00FF4A9A">
      <w:pPr>
        <w:numPr>
          <w:ilvl w:val="0"/>
          <w:numId w:val="4"/>
        </w:numPr>
        <w:spacing w:after="0" w:line="240" w:lineRule="auto"/>
        <w:rPr>
          <w:sz w:val="20"/>
          <w:szCs w:val="20"/>
        </w:rPr>
      </w:pPr>
      <w:r w:rsidRPr="00922CEE">
        <w:rPr>
          <w:sz w:val="20"/>
          <w:szCs w:val="20"/>
        </w:rPr>
        <w:t>There is a reasonable likelihood that the records will disclose information of substantial value in the investigation or prosecution</w:t>
      </w:r>
    </w:p>
    <w:p w14:paraId="7F107C8C" w14:textId="77777777" w:rsidR="00FF4A9A" w:rsidRPr="00922CEE" w:rsidRDefault="00FF4A9A" w:rsidP="00FF4A9A">
      <w:pPr>
        <w:numPr>
          <w:ilvl w:val="0"/>
          <w:numId w:val="4"/>
        </w:numPr>
        <w:spacing w:after="0" w:line="240" w:lineRule="auto"/>
        <w:rPr>
          <w:sz w:val="20"/>
          <w:szCs w:val="20"/>
        </w:rPr>
      </w:pPr>
      <w:r w:rsidRPr="00922CEE">
        <w:rPr>
          <w:sz w:val="20"/>
          <w:szCs w:val="20"/>
        </w:rPr>
        <w:t xml:space="preserve">Person holding records has </w:t>
      </w:r>
      <w:r w:rsidR="00922CEE" w:rsidRPr="00922CEE">
        <w:rPr>
          <w:sz w:val="20"/>
          <w:szCs w:val="20"/>
        </w:rPr>
        <w:t>been afforded an</w:t>
      </w:r>
      <w:r w:rsidRPr="00922CEE">
        <w:rPr>
          <w:sz w:val="20"/>
          <w:szCs w:val="20"/>
        </w:rPr>
        <w:t xml:space="preserve"> opportunity to be represented by independent counsel. </w:t>
      </w:r>
    </w:p>
    <w:p w14:paraId="36870F74" w14:textId="77777777" w:rsidR="00922CEE" w:rsidRDefault="00A80017" w:rsidP="00A80017">
      <w:pPr>
        <w:pStyle w:val="ListParagraph"/>
        <w:spacing w:after="0" w:line="240" w:lineRule="auto"/>
        <w:ind w:left="0"/>
        <w:rPr>
          <w:sz w:val="20"/>
          <w:szCs w:val="20"/>
        </w:rPr>
      </w:pPr>
      <w:r>
        <w:rPr>
          <w:sz w:val="20"/>
          <w:szCs w:val="20"/>
        </w:rPr>
        <w:t>The court must also:</w:t>
      </w:r>
      <w:r w:rsidR="00FF4A9A" w:rsidRPr="00922CEE">
        <w:rPr>
          <w:sz w:val="20"/>
          <w:szCs w:val="20"/>
        </w:rPr>
        <w:t xml:space="preserve"> </w:t>
      </w:r>
    </w:p>
    <w:p w14:paraId="7668B412" w14:textId="77777777" w:rsidR="00922CEE" w:rsidRPr="00922CEE" w:rsidRDefault="00922CEE" w:rsidP="00922CEE">
      <w:pPr>
        <w:pStyle w:val="ListParagraph"/>
        <w:numPr>
          <w:ilvl w:val="0"/>
          <w:numId w:val="5"/>
        </w:numPr>
        <w:spacing w:after="0" w:line="240" w:lineRule="auto"/>
        <w:rPr>
          <w:sz w:val="20"/>
          <w:szCs w:val="20"/>
        </w:rPr>
      </w:pPr>
      <w:r>
        <w:rPr>
          <w:sz w:val="20"/>
          <w:szCs w:val="20"/>
        </w:rPr>
        <w:t>L</w:t>
      </w:r>
      <w:r w:rsidR="00FF4A9A" w:rsidRPr="00922CEE">
        <w:rPr>
          <w:sz w:val="20"/>
          <w:szCs w:val="20"/>
        </w:rPr>
        <w:t xml:space="preserve">imit </w:t>
      </w:r>
      <w:r w:rsidRPr="00922CEE">
        <w:rPr>
          <w:sz w:val="20"/>
          <w:szCs w:val="20"/>
        </w:rPr>
        <w:t xml:space="preserve">disclosure and use to parts of the patient’s record which are essential </w:t>
      </w:r>
      <w:r w:rsidR="00FF4A9A" w:rsidRPr="00922CEE">
        <w:rPr>
          <w:sz w:val="20"/>
          <w:szCs w:val="20"/>
        </w:rPr>
        <w:t>to</w:t>
      </w:r>
      <w:r>
        <w:rPr>
          <w:sz w:val="20"/>
          <w:szCs w:val="20"/>
        </w:rPr>
        <w:t xml:space="preserve"> </w:t>
      </w:r>
      <w:r w:rsidR="002C4876" w:rsidRPr="00922CEE">
        <w:rPr>
          <w:sz w:val="20"/>
          <w:szCs w:val="20"/>
        </w:rPr>
        <w:t>fulfill</w:t>
      </w:r>
      <w:r w:rsidRPr="00922CEE">
        <w:rPr>
          <w:sz w:val="20"/>
          <w:szCs w:val="20"/>
        </w:rPr>
        <w:t xml:space="preserve"> the </w:t>
      </w:r>
      <w:r>
        <w:rPr>
          <w:sz w:val="20"/>
          <w:szCs w:val="20"/>
        </w:rPr>
        <w:t>objective</w:t>
      </w:r>
      <w:r w:rsidRPr="00922CEE">
        <w:rPr>
          <w:sz w:val="20"/>
          <w:szCs w:val="20"/>
        </w:rPr>
        <w:t xml:space="preserve"> of the order, </w:t>
      </w:r>
    </w:p>
    <w:p w14:paraId="29D11C10" w14:textId="77777777" w:rsidR="00A80017" w:rsidRDefault="00922CEE" w:rsidP="009A6C4B">
      <w:pPr>
        <w:pStyle w:val="ListParagraph"/>
        <w:numPr>
          <w:ilvl w:val="0"/>
          <w:numId w:val="5"/>
        </w:numPr>
        <w:spacing w:after="0" w:line="240" w:lineRule="auto"/>
        <w:rPr>
          <w:sz w:val="20"/>
          <w:szCs w:val="20"/>
        </w:rPr>
      </w:pPr>
      <w:r w:rsidRPr="00A80017">
        <w:rPr>
          <w:sz w:val="20"/>
          <w:szCs w:val="20"/>
        </w:rPr>
        <w:t>Limit disclosure to those law enforcement and prosecutorial officials who are responsible for the</w:t>
      </w:r>
      <w:r w:rsidR="00FF4A9A" w:rsidRPr="00A80017">
        <w:rPr>
          <w:sz w:val="20"/>
          <w:szCs w:val="20"/>
        </w:rPr>
        <w:t xml:space="preserve"> investigation or prosecution</w:t>
      </w:r>
      <w:r w:rsidRPr="00A80017">
        <w:rPr>
          <w:sz w:val="20"/>
          <w:szCs w:val="20"/>
        </w:rPr>
        <w:t xml:space="preserve"> and limit their use of the records to investigation or prosecution </w:t>
      </w:r>
      <w:r w:rsidR="00FF4A9A" w:rsidRPr="00A80017">
        <w:rPr>
          <w:sz w:val="20"/>
          <w:szCs w:val="20"/>
        </w:rPr>
        <w:t xml:space="preserve">of </w:t>
      </w:r>
      <w:r w:rsidRPr="00A80017">
        <w:rPr>
          <w:sz w:val="20"/>
          <w:szCs w:val="20"/>
        </w:rPr>
        <w:t xml:space="preserve">the </w:t>
      </w:r>
      <w:r w:rsidR="00FF4A9A" w:rsidRPr="00A80017">
        <w:rPr>
          <w:sz w:val="20"/>
          <w:szCs w:val="20"/>
        </w:rPr>
        <w:t>extremely serious crim</w:t>
      </w:r>
      <w:r w:rsidRPr="00A80017">
        <w:rPr>
          <w:sz w:val="20"/>
          <w:szCs w:val="20"/>
        </w:rPr>
        <w:t>e or suspected crime specified in the application</w:t>
      </w:r>
      <w:r w:rsidR="00A80017" w:rsidRPr="00A80017">
        <w:rPr>
          <w:sz w:val="20"/>
          <w:szCs w:val="20"/>
        </w:rPr>
        <w:t xml:space="preserve"> for court order</w:t>
      </w:r>
      <w:r w:rsidRPr="00A80017">
        <w:rPr>
          <w:sz w:val="20"/>
          <w:szCs w:val="20"/>
        </w:rPr>
        <w:t>,</w:t>
      </w:r>
      <w:r w:rsidR="00A80017" w:rsidRPr="00A80017">
        <w:rPr>
          <w:sz w:val="20"/>
          <w:szCs w:val="20"/>
        </w:rPr>
        <w:t xml:space="preserve"> and</w:t>
      </w:r>
    </w:p>
    <w:p w14:paraId="562E5FA9" w14:textId="77777777" w:rsidR="00922CEE" w:rsidRPr="00A80017" w:rsidRDefault="00922CEE" w:rsidP="009A6C4B">
      <w:pPr>
        <w:pStyle w:val="ListParagraph"/>
        <w:numPr>
          <w:ilvl w:val="0"/>
          <w:numId w:val="5"/>
        </w:numPr>
        <w:spacing w:after="0" w:line="240" w:lineRule="auto"/>
        <w:rPr>
          <w:sz w:val="20"/>
          <w:szCs w:val="20"/>
        </w:rPr>
      </w:pPr>
      <w:r w:rsidRPr="00A80017">
        <w:rPr>
          <w:sz w:val="20"/>
          <w:szCs w:val="20"/>
        </w:rPr>
        <w:t xml:space="preserve">Include such other measures as are necessary to limit the disclosure and use to the fulfillment of </w:t>
      </w:r>
      <w:r w:rsidR="00A80017" w:rsidRPr="00A80017">
        <w:rPr>
          <w:sz w:val="20"/>
          <w:szCs w:val="20"/>
        </w:rPr>
        <w:t>only that public interest and need found by the court</w:t>
      </w:r>
      <w:r w:rsidRPr="00A80017">
        <w:rPr>
          <w:sz w:val="20"/>
          <w:szCs w:val="20"/>
        </w:rPr>
        <w:t xml:space="preserve">. </w:t>
      </w:r>
    </w:p>
    <w:sectPr w:rsidR="00922CEE" w:rsidRPr="00A8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31B0"/>
    <w:multiLevelType w:val="hybridMultilevel"/>
    <w:tmpl w:val="D500DCC4"/>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C4048"/>
    <w:multiLevelType w:val="hybridMultilevel"/>
    <w:tmpl w:val="E84AFBD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2B4553"/>
    <w:multiLevelType w:val="hybridMultilevel"/>
    <w:tmpl w:val="BFD628F0"/>
    <w:lvl w:ilvl="0" w:tplc="76F0467E">
      <w:start w:val="3"/>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DDF81188">
      <w:start w:val="1"/>
      <w:numFmt w:val="decimal"/>
      <w:lvlText w:val="%3."/>
      <w:lvlJc w:val="left"/>
      <w:pPr>
        <w:tabs>
          <w:tab w:val="num" w:pos="1800"/>
        </w:tabs>
        <w:ind w:left="1800" w:hanging="360"/>
      </w:pPr>
    </w:lvl>
    <w:lvl w:ilvl="3" w:tplc="160C1C30" w:tentative="1">
      <w:start w:val="1"/>
      <w:numFmt w:val="decimal"/>
      <w:lvlText w:val="%4."/>
      <w:lvlJc w:val="left"/>
      <w:pPr>
        <w:tabs>
          <w:tab w:val="num" w:pos="2520"/>
        </w:tabs>
        <w:ind w:left="2520" w:hanging="360"/>
      </w:pPr>
    </w:lvl>
    <w:lvl w:ilvl="4" w:tplc="BBE27806" w:tentative="1">
      <w:start w:val="1"/>
      <w:numFmt w:val="decimal"/>
      <w:lvlText w:val="%5."/>
      <w:lvlJc w:val="left"/>
      <w:pPr>
        <w:tabs>
          <w:tab w:val="num" w:pos="3240"/>
        </w:tabs>
        <w:ind w:left="3240" w:hanging="360"/>
      </w:pPr>
    </w:lvl>
    <w:lvl w:ilvl="5" w:tplc="232473A0" w:tentative="1">
      <w:start w:val="1"/>
      <w:numFmt w:val="decimal"/>
      <w:lvlText w:val="%6."/>
      <w:lvlJc w:val="left"/>
      <w:pPr>
        <w:tabs>
          <w:tab w:val="num" w:pos="3960"/>
        </w:tabs>
        <w:ind w:left="3960" w:hanging="360"/>
      </w:pPr>
    </w:lvl>
    <w:lvl w:ilvl="6" w:tplc="561E0F2C" w:tentative="1">
      <w:start w:val="1"/>
      <w:numFmt w:val="decimal"/>
      <w:lvlText w:val="%7."/>
      <w:lvlJc w:val="left"/>
      <w:pPr>
        <w:tabs>
          <w:tab w:val="num" w:pos="4680"/>
        </w:tabs>
        <w:ind w:left="4680" w:hanging="360"/>
      </w:pPr>
    </w:lvl>
    <w:lvl w:ilvl="7" w:tplc="90DCF168" w:tentative="1">
      <w:start w:val="1"/>
      <w:numFmt w:val="decimal"/>
      <w:lvlText w:val="%8."/>
      <w:lvlJc w:val="left"/>
      <w:pPr>
        <w:tabs>
          <w:tab w:val="num" w:pos="5400"/>
        </w:tabs>
        <w:ind w:left="5400" w:hanging="360"/>
      </w:pPr>
    </w:lvl>
    <w:lvl w:ilvl="8" w:tplc="D5DA8B4E" w:tentative="1">
      <w:start w:val="1"/>
      <w:numFmt w:val="decimal"/>
      <w:lvlText w:val="%9."/>
      <w:lvlJc w:val="left"/>
      <w:pPr>
        <w:tabs>
          <w:tab w:val="num" w:pos="6120"/>
        </w:tabs>
        <w:ind w:left="6120" w:hanging="360"/>
      </w:pPr>
    </w:lvl>
  </w:abstractNum>
  <w:abstractNum w:abstractNumId="3" w15:restartNumberingAfterBreak="0">
    <w:nsid w:val="6CD461D1"/>
    <w:multiLevelType w:val="hybridMultilevel"/>
    <w:tmpl w:val="02B65252"/>
    <w:lvl w:ilvl="0" w:tplc="94C264A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A2540"/>
    <w:multiLevelType w:val="hybridMultilevel"/>
    <w:tmpl w:val="993C3E48"/>
    <w:lvl w:ilvl="0" w:tplc="977A9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A74A5"/>
    <w:multiLevelType w:val="hybridMultilevel"/>
    <w:tmpl w:val="3FE80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F6"/>
    <w:rsid w:val="00252F15"/>
    <w:rsid w:val="002C4876"/>
    <w:rsid w:val="004F7ED3"/>
    <w:rsid w:val="00573D58"/>
    <w:rsid w:val="006770B7"/>
    <w:rsid w:val="00922CEE"/>
    <w:rsid w:val="00A80017"/>
    <w:rsid w:val="00AA35F7"/>
    <w:rsid w:val="00CA0E29"/>
    <w:rsid w:val="00D37B08"/>
    <w:rsid w:val="00D84BF6"/>
    <w:rsid w:val="00DB59BB"/>
    <w:rsid w:val="00E43F81"/>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2F7C"/>
  <w15:chartTrackingRefBased/>
  <w15:docId w15:val="{F312F474-4A01-49BC-80BE-3BEDB912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84BF6"/>
    <w:pPr>
      <w:spacing w:after="0" w:line="240" w:lineRule="atLeast"/>
      <w:ind w:left="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D84BF6"/>
    <w:rPr>
      <w:rFonts w:ascii="Times New Roman" w:eastAsia="Times New Roman" w:hAnsi="Times New Roman" w:cs="Times New Roman"/>
      <w:sz w:val="24"/>
      <w:szCs w:val="20"/>
    </w:rPr>
  </w:style>
  <w:style w:type="character" w:customStyle="1" w:styleId="aMargin1Char">
    <w:name w:val="aMargin1 Char"/>
    <w:basedOn w:val="DefaultParagraphFont"/>
    <w:link w:val="aMargin1"/>
    <w:rsid w:val="00CA0E29"/>
    <w:rPr>
      <w:rFonts w:ascii="Times New Roman" w:hAnsi="Times New Roman" w:cs="Times New Roman"/>
    </w:rPr>
  </w:style>
  <w:style w:type="paragraph" w:customStyle="1" w:styleId="aMargin1">
    <w:name w:val="aMargin1"/>
    <w:basedOn w:val="Normal"/>
    <w:link w:val="aMargin1Char"/>
    <w:rsid w:val="00CA0E29"/>
    <w:pPr>
      <w:spacing w:after="0" w:line="240" w:lineRule="auto"/>
      <w:ind w:firstLine="360"/>
      <w:jc w:val="both"/>
    </w:pPr>
    <w:rPr>
      <w:rFonts w:ascii="Times New Roman" w:hAnsi="Times New Roman" w:cs="Times New Roman"/>
    </w:rPr>
  </w:style>
  <w:style w:type="character" w:customStyle="1" w:styleId="aSectionChar">
    <w:name w:val="aSection Char"/>
    <w:basedOn w:val="DefaultParagraphFont"/>
    <w:link w:val="aSection"/>
    <w:rsid w:val="00CA0E29"/>
    <w:rPr>
      <w:rFonts w:ascii="Times New Roman" w:hAnsi="Times New Roman" w:cs="Times New Roman"/>
      <w:b/>
      <w:bCs/>
    </w:rPr>
  </w:style>
  <w:style w:type="paragraph" w:customStyle="1" w:styleId="aSection">
    <w:name w:val="aSection"/>
    <w:basedOn w:val="Normal"/>
    <w:link w:val="aSectionChar"/>
    <w:rsid w:val="00CA0E29"/>
    <w:pPr>
      <w:spacing w:after="0" w:line="240" w:lineRule="auto"/>
      <w:ind w:left="1080" w:hanging="1080"/>
      <w:jc w:val="both"/>
    </w:pPr>
    <w:rPr>
      <w:rFonts w:ascii="Times New Roman" w:hAnsi="Times New Roman" w:cs="Times New Roman"/>
      <w:b/>
      <w:bCs/>
    </w:rPr>
  </w:style>
  <w:style w:type="paragraph" w:styleId="Header">
    <w:name w:val="header"/>
    <w:basedOn w:val="Normal"/>
    <w:link w:val="HeaderChar"/>
    <w:rsid w:val="00CA0E2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A0E2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3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B08"/>
    <w:rPr>
      <w:rFonts w:ascii="Segoe UI" w:hAnsi="Segoe UI" w:cs="Segoe UI"/>
      <w:sz w:val="18"/>
      <w:szCs w:val="18"/>
    </w:rPr>
  </w:style>
  <w:style w:type="paragraph" w:styleId="ListParagraph">
    <w:name w:val="List Paragraph"/>
    <w:basedOn w:val="Normal"/>
    <w:uiPriority w:val="34"/>
    <w:qFormat/>
    <w:rsid w:val="0092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844">
      <w:bodyDiv w:val="1"/>
      <w:marLeft w:val="0"/>
      <w:marRight w:val="0"/>
      <w:marTop w:val="0"/>
      <w:marBottom w:val="0"/>
      <w:divBdr>
        <w:top w:val="none" w:sz="0" w:space="0" w:color="auto"/>
        <w:left w:val="none" w:sz="0" w:space="0" w:color="auto"/>
        <w:bottom w:val="none" w:sz="0" w:space="0" w:color="auto"/>
        <w:right w:val="none" w:sz="0" w:space="0" w:color="auto"/>
      </w:divBdr>
      <w:divsChild>
        <w:div w:id="435516688">
          <w:marLeft w:val="2160"/>
          <w:marRight w:val="0"/>
          <w:marTop w:val="264"/>
          <w:marBottom w:val="0"/>
          <w:divBdr>
            <w:top w:val="none" w:sz="0" w:space="0" w:color="auto"/>
            <w:left w:val="none" w:sz="0" w:space="0" w:color="auto"/>
            <w:bottom w:val="none" w:sz="0" w:space="0" w:color="auto"/>
            <w:right w:val="none" w:sz="0" w:space="0" w:color="auto"/>
          </w:divBdr>
        </w:div>
        <w:div w:id="279990828">
          <w:marLeft w:val="2160"/>
          <w:marRight w:val="0"/>
          <w:marTop w:val="264"/>
          <w:marBottom w:val="0"/>
          <w:divBdr>
            <w:top w:val="none" w:sz="0" w:space="0" w:color="auto"/>
            <w:left w:val="none" w:sz="0" w:space="0" w:color="auto"/>
            <w:bottom w:val="none" w:sz="0" w:space="0" w:color="auto"/>
            <w:right w:val="none" w:sz="0" w:space="0" w:color="auto"/>
          </w:divBdr>
        </w:div>
        <w:div w:id="542400345">
          <w:marLeft w:val="2160"/>
          <w:marRight w:val="0"/>
          <w:marTop w:val="264"/>
          <w:marBottom w:val="0"/>
          <w:divBdr>
            <w:top w:val="none" w:sz="0" w:space="0" w:color="auto"/>
            <w:left w:val="none" w:sz="0" w:space="0" w:color="auto"/>
            <w:bottom w:val="none" w:sz="0" w:space="0" w:color="auto"/>
            <w:right w:val="none" w:sz="0" w:space="0" w:color="auto"/>
          </w:divBdr>
        </w:div>
      </w:divsChild>
    </w:div>
    <w:div w:id="3694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567D-CC0C-4D8D-BA7B-238CEBA9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Botts, Mark F</dc:creator>
  <cp:keywords/>
  <dc:description/>
  <cp:lastModifiedBy>Botts, Mark F</cp:lastModifiedBy>
  <cp:revision>2</cp:revision>
  <cp:lastPrinted>2018-02-15T20:52:00Z</cp:lastPrinted>
  <dcterms:created xsi:type="dcterms:W3CDTF">2020-04-13T18:55:00Z</dcterms:created>
  <dcterms:modified xsi:type="dcterms:W3CDTF">2020-04-13T18:55:00Z</dcterms:modified>
</cp:coreProperties>
</file>