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582D" w14:textId="77777777" w:rsidR="004D3055" w:rsidRPr="00232CE6" w:rsidRDefault="00ED7BFE" w:rsidP="00BB6738">
      <w:pPr>
        <w:jc w:val="center"/>
        <w:rPr>
          <w:b/>
          <w:sz w:val="20"/>
          <w:szCs w:val="20"/>
        </w:rPr>
      </w:pPr>
      <w:r w:rsidRPr="00232CE6">
        <w:rPr>
          <w:b/>
          <w:sz w:val="20"/>
          <w:szCs w:val="20"/>
        </w:rPr>
        <w:t>Requirements of 24-H</w:t>
      </w:r>
      <w:r w:rsidR="00BB6738" w:rsidRPr="00232CE6">
        <w:rPr>
          <w:b/>
          <w:sz w:val="20"/>
          <w:szCs w:val="20"/>
        </w:rPr>
        <w:t>our Facilities</w:t>
      </w:r>
      <w:bookmarkStart w:id="0" w:name="_GoBack"/>
      <w:bookmarkEnd w:id="0"/>
    </w:p>
    <w:p w14:paraId="09586CF9" w14:textId="3BFEE0E5" w:rsidR="00BB6738" w:rsidRPr="001A61F5" w:rsidRDefault="002306E8" w:rsidP="00BB6738">
      <w:pPr>
        <w:jc w:val="center"/>
        <w:rPr>
          <w:sz w:val="20"/>
          <w:szCs w:val="20"/>
          <w:u w:val="single"/>
        </w:rPr>
      </w:pPr>
      <w:r w:rsidRPr="001A61F5">
        <w:rPr>
          <w:sz w:val="20"/>
          <w:szCs w:val="20"/>
          <w:u w:val="single"/>
        </w:rPr>
        <w:t>Voluntary Admission</w:t>
      </w:r>
      <w:r w:rsidR="001A61F5" w:rsidRPr="001A61F5">
        <w:rPr>
          <w:sz w:val="20"/>
          <w:szCs w:val="20"/>
          <w:u w:val="single"/>
        </w:rPr>
        <w:t>—Parts 3 and 4</w:t>
      </w:r>
      <w:r w:rsidR="00057E2F" w:rsidRPr="001A61F5">
        <w:rPr>
          <w:sz w:val="20"/>
          <w:szCs w:val="20"/>
          <w:u w:val="single"/>
        </w:rPr>
        <w:t>, Article 5 of G.S. 122C</w:t>
      </w:r>
    </w:p>
    <w:p w14:paraId="20594FE5" w14:textId="056B0FC3" w:rsidR="00331283" w:rsidRPr="00232CE6" w:rsidRDefault="00040820" w:rsidP="00ED7B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 xml:space="preserve">The legally responsible person for the </w:t>
      </w:r>
      <w:r w:rsidR="002E7222" w:rsidRPr="00232CE6">
        <w:rPr>
          <w:sz w:val="18"/>
          <w:szCs w:val="18"/>
        </w:rPr>
        <w:t>adult</w:t>
      </w:r>
      <w:r w:rsidR="00626928">
        <w:rPr>
          <w:sz w:val="18"/>
          <w:szCs w:val="18"/>
        </w:rPr>
        <w:t xml:space="preserve"> or minor</w:t>
      </w:r>
      <w:r w:rsidRPr="00232CE6">
        <w:rPr>
          <w:sz w:val="18"/>
          <w:szCs w:val="18"/>
        </w:rPr>
        <w:t xml:space="preserve"> must sign a</w:t>
      </w:r>
      <w:r w:rsidR="00D8238B" w:rsidRPr="00232CE6">
        <w:rPr>
          <w:sz w:val="18"/>
          <w:szCs w:val="18"/>
        </w:rPr>
        <w:t xml:space="preserve"> </w:t>
      </w:r>
      <w:r w:rsidR="00BB6738" w:rsidRPr="00232CE6">
        <w:rPr>
          <w:sz w:val="18"/>
          <w:szCs w:val="18"/>
        </w:rPr>
        <w:t xml:space="preserve">written application </w:t>
      </w:r>
      <w:r w:rsidRPr="00232CE6">
        <w:rPr>
          <w:sz w:val="18"/>
          <w:szCs w:val="18"/>
        </w:rPr>
        <w:t xml:space="preserve">for admission. </w:t>
      </w:r>
    </w:p>
    <w:p w14:paraId="1D5AC9F4" w14:textId="3228D00A" w:rsidR="00040820" w:rsidRPr="00232CE6" w:rsidRDefault="002E7222" w:rsidP="00ED7B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 xml:space="preserve">The application must acknowledge that the </w:t>
      </w:r>
      <w:r w:rsidR="000B22E2">
        <w:rPr>
          <w:sz w:val="18"/>
          <w:szCs w:val="18"/>
        </w:rPr>
        <w:t>applicant for admission</w:t>
      </w:r>
      <w:r w:rsidRPr="00232CE6">
        <w:rPr>
          <w:sz w:val="18"/>
          <w:szCs w:val="18"/>
        </w:rPr>
        <w:t xml:space="preserve"> may be held for a period of 72 hours following any written request for release and that the facility </w:t>
      </w:r>
      <w:r w:rsidR="00846DF7" w:rsidRPr="00232CE6">
        <w:rPr>
          <w:sz w:val="18"/>
          <w:szCs w:val="18"/>
        </w:rPr>
        <w:t>may</w:t>
      </w:r>
      <w:r w:rsidRPr="00232CE6">
        <w:rPr>
          <w:sz w:val="18"/>
          <w:szCs w:val="18"/>
        </w:rPr>
        <w:t xml:space="preserve"> petition for involuntary commitment during that period. </w:t>
      </w:r>
    </w:p>
    <w:p w14:paraId="3F024D3D" w14:textId="77777777" w:rsidR="00331283" w:rsidRPr="00232CE6" w:rsidRDefault="00F54688" w:rsidP="0033128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>T</w:t>
      </w:r>
      <w:r w:rsidR="00331283" w:rsidRPr="00232CE6">
        <w:rPr>
          <w:sz w:val="18"/>
          <w:szCs w:val="18"/>
        </w:rPr>
        <w:t>he facility must tell the legally responsible person about procedures for discharge</w:t>
      </w:r>
      <w:r w:rsidRPr="00232CE6">
        <w:rPr>
          <w:sz w:val="18"/>
          <w:szCs w:val="18"/>
        </w:rPr>
        <w:t xml:space="preserve"> at the time of application</w:t>
      </w:r>
      <w:r w:rsidR="00331283" w:rsidRPr="00232CE6">
        <w:rPr>
          <w:sz w:val="18"/>
          <w:szCs w:val="18"/>
        </w:rPr>
        <w:t xml:space="preserve">.  </w:t>
      </w:r>
    </w:p>
    <w:p w14:paraId="5659EE75" w14:textId="0E6EE7C3" w:rsidR="00BB6738" w:rsidRPr="00232CE6" w:rsidRDefault="00040820" w:rsidP="00ED7B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 xml:space="preserve">The facility must evaluate the </w:t>
      </w:r>
      <w:r w:rsidR="00626928">
        <w:rPr>
          <w:sz w:val="18"/>
          <w:szCs w:val="18"/>
        </w:rPr>
        <w:t>patient</w:t>
      </w:r>
      <w:r w:rsidR="00BB6738" w:rsidRPr="00232CE6">
        <w:rPr>
          <w:sz w:val="18"/>
          <w:szCs w:val="18"/>
        </w:rPr>
        <w:t xml:space="preserve"> to determine whether the </w:t>
      </w:r>
      <w:r w:rsidR="00626928">
        <w:rPr>
          <w:sz w:val="18"/>
          <w:szCs w:val="18"/>
        </w:rPr>
        <w:t>patient</w:t>
      </w:r>
      <w:r w:rsidR="00BB6738" w:rsidRPr="00232CE6">
        <w:rPr>
          <w:sz w:val="18"/>
          <w:szCs w:val="18"/>
        </w:rPr>
        <w:t xml:space="preserve"> is </w:t>
      </w:r>
      <w:r w:rsidR="00331283" w:rsidRPr="00232CE6">
        <w:rPr>
          <w:sz w:val="18"/>
          <w:szCs w:val="18"/>
        </w:rPr>
        <w:t xml:space="preserve">mentally ill or a substance abuser and </w:t>
      </w:r>
      <w:r w:rsidR="00BB6738" w:rsidRPr="00232CE6">
        <w:rPr>
          <w:sz w:val="18"/>
          <w:szCs w:val="18"/>
        </w:rPr>
        <w:t xml:space="preserve">in need of </w:t>
      </w:r>
      <w:r w:rsidR="00331283" w:rsidRPr="00232CE6">
        <w:rPr>
          <w:sz w:val="18"/>
          <w:szCs w:val="18"/>
        </w:rPr>
        <w:t xml:space="preserve">care or </w:t>
      </w:r>
      <w:r w:rsidR="00BB6738" w:rsidRPr="00232CE6">
        <w:rPr>
          <w:sz w:val="18"/>
          <w:szCs w:val="18"/>
        </w:rPr>
        <w:t>treatment</w:t>
      </w:r>
      <w:r w:rsidR="00331283" w:rsidRPr="00232CE6">
        <w:rPr>
          <w:sz w:val="18"/>
          <w:szCs w:val="18"/>
        </w:rPr>
        <w:t xml:space="preserve"> at the facility</w:t>
      </w:r>
      <w:r w:rsidR="00BB6738" w:rsidRPr="00232CE6">
        <w:rPr>
          <w:sz w:val="18"/>
          <w:szCs w:val="18"/>
        </w:rPr>
        <w:t>.</w:t>
      </w:r>
      <w:r w:rsidR="00331283" w:rsidRPr="00232CE6">
        <w:rPr>
          <w:sz w:val="18"/>
          <w:szCs w:val="18"/>
        </w:rPr>
        <w:t xml:space="preserve"> Where medical care is an integral component of </w:t>
      </w:r>
      <w:r w:rsidR="000B22E2">
        <w:rPr>
          <w:sz w:val="18"/>
          <w:szCs w:val="18"/>
        </w:rPr>
        <w:t xml:space="preserve">the </w:t>
      </w:r>
      <w:r w:rsidR="00331283" w:rsidRPr="00232CE6">
        <w:rPr>
          <w:sz w:val="18"/>
          <w:szCs w:val="18"/>
        </w:rPr>
        <w:t>treatment</w:t>
      </w:r>
      <w:r w:rsidR="009431E6" w:rsidRPr="00232CE6">
        <w:rPr>
          <w:sz w:val="18"/>
          <w:szCs w:val="18"/>
        </w:rPr>
        <w:t xml:space="preserve"> at the facility</w:t>
      </w:r>
      <w:r w:rsidR="00331283" w:rsidRPr="00232CE6">
        <w:rPr>
          <w:sz w:val="18"/>
          <w:szCs w:val="18"/>
        </w:rPr>
        <w:t xml:space="preserve">, </w:t>
      </w:r>
      <w:r w:rsidR="000B22E2">
        <w:rPr>
          <w:sz w:val="18"/>
          <w:szCs w:val="18"/>
        </w:rPr>
        <w:t>a physician</w:t>
      </w:r>
      <w:r w:rsidR="00331283" w:rsidRPr="00232CE6">
        <w:rPr>
          <w:sz w:val="18"/>
          <w:szCs w:val="18"/>
        </w:rPr>
        <w:t xml:space="preserve"> must </w:t>
      </w:r>
      <w:r w:rsidR="000B22E2">
        <w:rPr>
          <w:sz w:val="18"/>
          <w:szCs w:val="18"/>
        </w:rPr>
        <w:t xml:space="preserve">examine and evaluate the individual </w:t>
      </w:r>
      <w:r w:rsidR="00331283" w:rsidRPr="00232CE6">
        <w:rPr>
          <w:sz w:val="18"/>
          <w:szCs w:val="18"/>
        </w:rPr>
        <w:t xml:space="preserve">within 24 hours of admission. </w:t>
      </w:r>
    </w:p>
    <w:p w14:paraId="531DDB6A" w14:textId="1813F61C" w:rsidR="008F5006" w:rsidRPr="00232CE6" w:rsidRDefault="008F5006" w:rsidP="008F500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 xml:space="preserve">A judicial hearing must be held within </w:t>
      </w:r>
      <w:r w:rsidR="002E7222" w:rsidRPr="00232CE6">
        <w:rPr>
          <w:sz w:val="18"/>
          <w:szCs w:val="18"/>
        </w:rPr>
        <w:t>10</w:t>
      </w:r>
      <w:r w:rsidRPr="00232CE6">
        <w:rPr>
          <w:sz w:val="18"/>
          <w:szCs w:val="18"/>
        </w:rPr>
        <w:t xml:space="preserve"> days </w:t>
      </w:r>
      <w:r w:rsidR="002653DF">
        <w:rPr>
          <w:sz w:val="18"/>
          <w:szCs w:val="18"/>
        </w:rPr>
        <w:t>(adult) or 15 days (minor) of admission. Th</w:t>
      </w:r>
      <w:r w:rsidR="002E7222" w:rsidRPr="00232CE6">
        <w:rPr>
          <w:sz w:val="18"/>
          <w:szCs w:val="18"/>
        </w:rPr>
        <w:t xml:space="preserve">e written application for admission shall serve as the initiating document for the hearing. </w:t>
      </w:r>
    </w:p>
    <w:p w14:paraId="3B775457" w14:textId="2F255F20" w:rsidR="00BB6738" w:rsidRPr="00232CE6" w:rsidRDefault="00040820" w:rsidP="00ED7B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>Within</w:t>
      </w:r>
      <w:r w:rsidR="00D8238B" w:rsidRPr="00232CE6">
        <w:rPr>
          <w:sz w:val="18"/>
          <w:szCs w:val="18"/>
        </w:rPr>
        <w:t xml:space="preserve"> 24 hours of admission, </w:t>
      </w:r>
      <w:r w:rsidRPr="00232CE6">
        <w:rPr>
          <w:sz w:val="18"/>
          <w:szCs w:val="18"/>
        </w:rPr>
        <w:t xml:space="preserve">the facility </w:t>
      </w:r>
      <w:r w:rsidR="009431E6" w:rsidRPr="00232CE6">
        <w:rPr>
          <w:sz w:val="18"/>
          <w:szCs w:val="18"/>
        </w:rPr>
        <w:t>shall</w:t>
      </w:r>
      <w:r w:rsidR="00D8238B" w:rsidRPr="00232CE6">
        <w:rPr>
          <w:sz w:val="18"/>
          <w:szCs w:val="18"/>
        </w:rPr>
        <w:t xml:space="preserve"> (</w:t>
      </w:r>
      <w:r w:rsidR="000B22E2">
        <w:rPr>
          <w:sz w:val="18"/>
          <w:szCs w:val="18"/>
        </w:rPr>
        <w:t>a</w:t>
      </w:r>
      <w:r w:rsidR="00D8238B" w:rsidRPr="00232CE6">
        <w:rPr>
          <w:sz w:val="18"/>
          <w:szCs w:val="18"/>
        </w:rPr>
        <w:t xml:space="preserve">) notify the clerk of court that a hearing for concurrence in </w:t>
      </w:r>
      <w:r w:rsidR="009431E6" w:rsidRPr="00232CE6">
        <w:rPr>
          <w:sz w:val="18"/>
          <w:szCs w:val="18"/>
        </w:rPr>
        <w:t>the admission must be scheduled</w:t>
      </w:r>
      <w:r w:rsidR="000B22E2">
        <w:rPr>
          <w:sz w:val="18"/>
          <w:szCs w:val="18"/>
        </w:rPr>
        <w:t xml:space="preserve"> (DMH 5-76-1)</w:t>
      </w:r>
      <w:r w:rsidR="009431E6" w:rsidRPr="00232CE6">
        <w:rPr>
          <w:sz w:val="18"/>
          <w:szCs w:val="18"/>
        </w:rPr>
        <w:t xml:space="preserve">, </w:t>
      </w:r>
      <w:r w:rsidR="00D8238B" w:rsidRPr="00232CE6">
        <w:rPr>
          <w:sz w:val="18"/>
          <w:szCs w:val="18"/>
        </w:rPr>
        <w:t>(</w:t>
      </w:r>
      <w:r w:rsidR="000B22E2">
        <w:rPr>
          <w:sz w:val="18"/>
          <w:szCs w:val="18"/>
        </w:rPr>
        <w:t>b</w:t>
      </w:r>
      <w:r w:rsidR="00D8238B" w:rsidRPr="00232CE6">
        <w:rPr>
          <w:sz w:val="18"/>
          <w:szCs w:val="18"/>
        </w:rPr>
        <w:t>) provide the names and addresses of the legally responsible person and the responsible professional</w:t>
      </w:r>
      <w:r w:rsidR="00846DF7" w:rsidRPr="00232CE6">
        <w:rPr>
          <w:sz w:val="18"/>
          <w:szCs w:val="18"/>
        </w:rPr>
        <w:t>,</w:t>
      </w:r>
      <w:r w:rsidR="00F54688" w:rsidRPr="00232CE6">
        <w:rPr>
          <w:sz w:val="18"/>
          <w:szCs w:val="18"/>
        </w:rPr>
        <w:t xml:space="preserve"> </w:t>
      </w:r>
      <w:r w:rsidR="000B22E2">
        <w:rPr>
          <w:sz w:val="18"/>
          <w:szCs w:val="18"/>
        </w:rPr>
        <w:t>(c</w:t>
      </w:r>
      <w:r w:rsidR="00846DF7" w:rsidRPr="00232CE6">
        <w:rPr>
          <w:sz w:val="18"/>
          <w:szCs w:val="18"/>
        </w:rPr>
        <w:t xml:space="preserve">) provide </w:t>
      </w:r>
      <w:r w:rsidR="000B22E2">
        <w:rPr>
          <w:sz w:val="18"/>
          <w:szCs w:val="18"/>
        </w:rPr>
        <w:t>a copy</w:t>
      </w:r>
      <w:r w:rsidR="00544A33" w:rsidRPr="00232CE6">
        <w:rPr>
          <w:sz w:val="18"/>
          <w:szCs w:val="18"/>
        </w:rPr>
        <w:t xml:space="preserve"> of the application </w:t>
      </w:r>
      <w:r w:rsidR="00846DF7" w:rsidRPr="00232CE6">
        <w:rPr>
          <w:sz w:val="18"/>
          <w:szCs w:val="18"/>
        </w:rPr>
        <w:t>for admission</w:t>
      </w:r>
      <w:r w:rsidR="000B22E2">
        <w:rPr>
          <w:sz w:val="18"/>
          <w:szCs w:val="18"/>
        </w:rPr>
        <w:t xml:space="preserve">, and (d) </w:t>
      </w:r>
      <w:r w:rsidR="00952D06">
        <w:rPr>
          <w:sz w:val="18"/>
          <w:szCs w:val="18"/>
        </w:rPr>
        <w:t xml:space="preserve">  </w:t>
      </w:r>
      <w:r w:rsidR="000B22E2">
        <w:rPr>
          <w:sz w:val="18"/>
          <w:szCs w:val="18"/>
        </w:rPr>
        <w:t xml:space="preserve">provide a copy of the </w:t>
      </w:r>
      <w:r w:rsidR="00544A33" w:rsidRPr="00232CE6">
        <w:rPr>
          <w:sz w:val="18"/>
          <w:szCs w:val="18"/>
        </w:rPr>
        <w:t>evaluation</w:t>
      </w:r>
      <w:r w:rsidR="009431E6" w:rsidRPr="00232CE6">
        <w:rPr>
          <w:sz w:val="18"/>
          <w:szCs w:val="18"/>
        </w:rPr>
        <w:t xml:space="preserve">.  </w:t>
      </w:r>
    </w:p>
    <w:p w14:paraId="6BEB577B" w14:textId="77777777" w:rsidR="009431E6" w:rsidRPr="00232CE6" w:rsidRDefault="00F54688" w:rsidP="00ED7BF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>T</w:t>
      </w:r>
      <w:r w:rsidR="009431E6" w:rsidRPr="00232CE6">
        <w:rPr>
          <w:sz w:val="18"/>
          <w:szCs w:val="18"/>
        </w:rPr>
        <w:t xml:space="preserve">he facility </w:t>
      </w:r>
      <w:r w:rsidRPr="00232CE6">
        <w:rPr>
          <w:sz w:val="18"/>
          <w:szCs w:val="18"/>
        </w:rPr>
        <w:t>should provide the</w:t>
      </w:r>
      <w:r w:rsidR="009431E6" w:rsidRPr="00232CE6">
        <w:rPr>
          <w:sz w:val="18"/>
          <w:szCs w:val="18"/>
        </w:rPr>
        <w:t xml:space="preserve"> respondent’s counsel with</w:t>
      </w:r>
      <w:r w:rsidRPr="00232CE6">
        <w:rPr>
          <w:sz w:val="18"/>
          <w:szCs w:val="18"/>
        </w:rPr>
        <w:t xml:space="preserve"> copies of</w:t>
      </w:r>
      <w:r w:rsidR="009431E6" w:rsidRPr="00232CE6">
        <w:rPr>
          <w:sz w:val="18"/>
          <w:szCs w:val="18"/>
        </w:rPr>
        <w:t>:</w:t>
      </w:r>
    </w:p>
    <w:p w14:paraId="3E880DA2" w14:textId="77777777" w:rsidR="008F5006" w:rsidRPr="00232CE6" w:rsidRDefault="00F54688" w:rsidP="008F5006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>Request for Hearing</w:t>
      </w:r>
      <w:r w:rsidR="00846DF7" w:rsidRPr="00232CE6">
        <w:rPr>
          <w:sz w:val="18"/>
          <w:szCs w:val="18"/>
        </w:rPr>
        <w:t xml:space="preserve"> </w:t>
      </w:r>
      <w:r w:rsidR="00846DF7" w:rsidRPr="00F27F9E">
        <w:rPr>
          <w:sz w:val="18"/>
          <w:szCs w:val="18"/>
        </w:rPr>
        <w:t>(Form DMH 5-76-1)</w:t>
      </w:r>
    </w:p>
    <w:p w14:paraId="047FD4C0" w14:textId="69949042" w:rsidR="008F5006" w:rsidRPr="00232CE6" w:rsidRDefault="008F5006" w:rsidP="008F5006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>Written application of the</w:t>
      </w:r>
      <w:r w:rsidR="00F54688" w:rsidRPr="00232CE6">
        <w:rPr>
          <w:sz w:val="18"/>
          <w:szCs w:val="18"/>
        </w:rPr>
        <w:t xml:space="preserve"> legally responsible person</w:t>
      </w:r>
      <w:r w:rsidR="002653DF">
        <w:rPr>
          <w:sz w:val="18"/>
          <w:szCs w:val="18"/>
        </w:rPr>
        <w:t>.</w:t>
      </w:r>
      <w:r w:rsidR="00F54688" w:rsidRPr="00232CE6">
        <w:rPr>
          <w:sz w:val="18"/>
          <w:szCs w:val="18"/>
        </w:rPr>
        <w:t xml:space="preserve"> </w:t>
      </w:r>
    </w:p>
    <w:p w14:paraId="37117582" w14:textId="77777777" w:rsidR="008F5006" w:rsidRPr="00232CE6" w:rsidRDefault="008F5006" w:rsidP="008F5006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>Clinician’s evaluation</w:t>
      </w:r>
      <w:r w:rsidR="00F54688" w:rsidRPr="00232CE6">
        <w:rPr>
          <w:sz w:val="18"/>
          <w:szCs w:val="18"/>
        </w:rPr>
        <w:t xml:space="preserve"> </w:t>
      </w:r>
      <w:r w:rsidR="00232CE6" w:rsidRPr="00232CE6">
        <w:rPr>
          <w:sz w:val="18"/>
          <w:szCs w:val="18"/>
        </w:rPr>
        <w:t>(“Evaluation for Admission/Continued Stay”, Form DMH 573-01)</w:t>
      </w:r>
    </w:p>
    <w:p w14:paraId="33D5D910" w14:textId="77777777" w:rsidR="00F54688" w:rsidRPr="00232CE6" w:rsidRDefault="00F54688" w:rsidP="008F5006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2CE6">
        <w:rPr>
          <w:sz w:val="18"/>
          <w:szCs w:val="18"/>
        </w:rPr>
        <w:t>Order of appointment of guardian</w:t>
      </w:r>
      <w:r w:rsidR="003052D7" w:rsidRPr="00232CE6">
        <w:rPr>
          <w:sz w:val="18"/>
          <w:szCs w:val="18"/>
        </w:rPr>
        <w:t xml:space="preserve"> (Clerk’s order from incompetency proceeding.)</w:t>
      </w:r>
    </w:p>
    <w:p w14:paraId="2DF516AD" w14:textId="77777777" w:rsidR="00F54688" w:rsidRPr="00232CE6" w:rsidRDefault="00F54688" w:rsidP="00F54688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 xml:space="preserve">The clerk of court shall assign counsel, calendar a hearing, and notify the respondent, his counsel, and the petitioner of the time and place of the hearing. </w:t>
      </w:r>
    </w:p>
    <w:p w14:paraId="2E73B8D9" w14:textId="1880C4E7" w:rsidR="00846DF7" w:rsidRPr="00232CE6" w:rsidRDefault="00846DF7" w:rsidP="00F54688">
      <w:pPr>
        <w:pStyle w:val="ListParagraph"/>
        <w:numPr>
          <w:ilvl w:val="0"/>
          <w:numId w:val="1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>Once the court has concurred in the admission</w:t>
      </w:r>
      <w:r w:rsidR="00D5185A">
        <w:rPr>
          <w:sz w:val="18"/>
          <w:szCs w:val="18"/>
        </w:rPr>
        <w:t xml:space="preserve">: (a) the legally responsible person for a minor may request and obtain discharge, but (b) in the case of an incompetent adult, </w:t>
      </w:r>
      <w:r w:rsidRPr="00232CE6">
        <w:rPr>
          <w:sz w:val="18"/>
          <w:szCs w:val="18"/>
        </w:rPr>
        <w:t xml:space="preserve">only the facility or court may release the patient unless the guardian applies for a hearing for discharge. </w:t>
      </w:r>
    </w:p>
    <w:p w14:paraId="28873A0B" w14:textId="7453C873" w:rsidR="00846DF7" w:rsidRPr="00232CE6" w:rsidRDefault="00846DF7" w:rsidP="00846DF7">
      <w:pPr>
        <w:pStyle w:val="ListParagraph"/>
        <w:numPr>
          <w:ilvl w:val="0"/>
          <w:numId w:val="1"/>
        </w:numPr>
        <w:tabs>
          <w:tab w:val="left" w:pos="7805"/>
        </w:tabs>
        <w:rPr>
          <w:sz w:val="18"/>
          <w:szCs w:val="18"/>
        </w:rPr>
      </w:pPr>
      <w:r w:rsidRPr="00232CE6">
        <w:rPr>
          <w:sz w:val="18"/>
          <w:szCs w:val="18"/>
        </w:rPr>
        <w:t xml:space="preserve">Fifteen days before the end of the authorized admission, </w:t>
      </w:r>
      <w:r w:rsidR="00D5185A">
        <w:rPr>
          <w:sz w:val="18"/>
          <w:szCs w:val="18"/>
        </w:rPr>
        <w:t>if the</w:t>
      </w:r>
      <w:r w:rsidRPr="00232CE6">
        <w:rPr>
          <w:sz w:val="18"/>
          <w:szCs w:val="18"/>
        </w:rPr>
        <w:t xml:space="preserve"> </w:t>
      </w:r>
      <w:r w:rsidR="00D5185A">
        <w:rPr>
          <w:sz w:val="18"/>
          <w:szCs w:val="18"/>
        </w:rPr>
        <w:t xml:space="preserve">responsible professional recommends </w:t>
      </w:r>
      <w:r w:rsidRPr="00232CE6">
        <w:rPr>
          <w:sz w:val="18"/>
          <w:szCs w:val="18"/>
        </w:rPr>
        <w:t>continued stay beyond the initial period</w:t>
      </w:r>
      <w:r w:rsidR="00D5185A">
        <w:rPr>
          <w:sz w:val="18"/>
          <w:szCs w:val="18"/>
        </w:rPr>
        <w:t xml:space="preserve">, the responsible person shall </w:t>
      </w:r>
      <w:r w:rsidRPr="00232CE6">
        <w:rPr>
          <w:sz w:val="18"/>
          <w:szCs w:val="18"/>
        </w:rPr>
        <w:t>so notify the clerk.</w:t>
      </w:r>
      <w:r w:rsidR="00AD5BFF" w:rsidRPr="00232CE6">
        <w:rPr>
          <w:sz w:val="18"/>
          <w:szCs w:val="18"/>
        </w:rPr>
        <w:t xml:space="preserve"> </w:t>
      </w:r>
      <w:r w:rsidR="00AD5BFF" w:rsidRPr="00F27F9E">
        <w:rPr>
          <w:sz w:val="18"/>
          <w:szCs w:val="18"/>
        </w:rPr>
        <w:t>(Form DMH 5-76-1)</w:t>
      </w:r>
    </w:p>
    <w:p w14:paraId="66CA9056" w14:textId="77777777" w:rsidR="00BB6738" w:rsidRPr="00232CE6" w:rsidRDefault="002306E8" w:rsidP="00BB6738">
      <w:pPr>
        <w:jc w:val="center"/>
        <w:rPr>
          <w:sz w:val="20"/>
          <w:szCs w:val="20"/>
          <w:u w:val="single"/>
        </w:rPr>
      </w:pPr>
      <w:r w:rsidRPr="00232CE6">
        <w:rPr>
          <w:sz w:val="20"/>
          <w:szCs w:val="20"/>
          <w:u w:val="single"/>
        </w:rPr>
        <w:t>Involuntary Commitment</w:t>
      </w:r>
      <w:r w:rsidR="00057E2F" w:rsidRPr="00232CE6">
        <w:rPr>
          <w:sz w:val="20"/>
          <w:szCs w:val="20"/>
          <w:u w:val="single"/>
        </w:rPr>
        <w:t>—Part 7, Article 5 of G.S. 122C</w:t>
      </w:r>
    </w:p>
    <w:p w14:paraId="04101301" w14:textId="77777777" w:rsidR="00BB6738" w:rsidRPr="00232CE6" w:rsidRDefault="00ED7BFE" w:rsidP="00ED7BFE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 xml:space="preserve">Within 24 hours of </w:t>
      </w:r>
      <w:r w:rsidR="00FA6DF3" w:rsidRPr="00232CE6">
        <w:rPr>
          <w:sz w:val="18"/>
          <w:szCs w:val="18"/>
        </w:rPr>
        <w:t xml:space="preserve">the respondent’s </w:t>
      </w:r>
      <w:r w:rsidR="00057E2F" w:rsidRPr="00232CE6">
        <w:rPr>
          <w:sz w:val="18"/>
          <w:szCs w:val="18"/>
        </w:rPr>
        <w:t>arrival at a 24-hour facility under a custody and transportation order, a physician must examine the respondent.</w:t>
      </w:r>
    </w:p>
    <w:p w14:paraId="77B5C615" w14:textId="77777777" w:rsidR="00FA6DF3" w:rsidRPr="00232CE6" w:rsidRDefault="00FA6DF3" w:rsidP="00ED7BFE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>If the 24-hour facility is the same facility where the first IVC exam was performed, the second examination shall occur not later than the following regular working day.</w:t>
      </w:r>
    </w:p>
    <w:p w14:paraId="137D00BA" w14:textId="77777777" w:rsidR="008F5006" w:rsidRPr="00232CE6" w:rsidRDefault="008F5006" w:rsidP="008F5006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 xml:space="preserve">A hearing must be held within 10 days of the day that the respondent was initially taken into law enforcement custody under the authority of a custody order. </w:t>
      </w:r>
    </w:p>
    <w:p w14:paraId="3D91A508" w14:textId="567F3769" w:rsidR="008F5006" w:rsidRPr="00232CE6" w:rsidRDefault="00FA6DF3" w:rsidP="00ED7BFE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 xml:space="preserve">The findings of the physician and the facts on which they are based </w:t>
      </w:r>
      <w:r w:rsidR="00AD5BFF" w:rsidRPr="00232CE6">
        <w:rPr>
          <w:sz w:val="18"/>
          <w:szCs w:val="18"/>
        </w:rPr>
        <w:t>shall</w:t>
      </w:r>
      <w:r w:rsidRPr="00232CE6">
        <w:rPr>
          <w:sz w:val="18"/>
          <w:szCs w:val="18"/>
        </w:rPr>
        <w:t xml:space="preserve"> be in writing</w:t>
      </w:r>
      <w:r w:rsidR="00AD5BFF" w:rsidRPr="00232CE6">
        <w:rPr>
          <w:sz w:val="18"/>
          <w:szCs w:val="18"/>
        </w:rPr>
        <w:t xml:space="preserve"> </w:t>
      </w:r>
      <w:r w:rsidRPr="00232CE6">
        <w:rPr>
          <w:sz w:val="18"/>
          <w:szCs w:val="18"/>
        </w:rPr>
        <w:t xml:space="preserve">and sent to the clerk of superior court by </w:t>
      </w:r>
      <w:r w:rsidR="003052D7" w:rsidRPr="00232CE6">
        <w:rPr>
          <w:sz w:val="18"/>
          <w:szCs w:val="18"/>
        </w:rPr>
        <w:t>“</w:t>
      </w:r>
      <w:r w:rsidRPr="00232CE6">
        <w:rPr>
          <w:sz w:val="18"/>
          <w:szCs w:val="18"/>
        </w:rPr>
        <w:t>reliabl</w:t>
      </w:r>
      <w:r w:rsidR="003052D7" w:rsidRPr="00232CE6">
        <w:rPr>
          <w:sz w:val="18"/>
          <w:szCs w:val="18"/>
        </w:rPr>
        <w:t xml:space="preserve">e and expeditious means.” </w:t>
      </w:r>
      <w:r w:rsidR="008F5006" w:rsidRPr="00232CE6">
        <w:rPr>
          <w:sz w:val="18"/>
          <w:szCs w:val="18"/>
        </w:rPr>
        <w:t xml:space="preserve"> </w:t>
      </w:r>
      <w:r w:rsidR="00AD5BFF" w:rsidRPr="00232CE6">
        <w:rPr>
          <w:sz w:val="18"/>
          <w:szCs w:val="18"/>
        </w:rPr>
        <w:t>Send to clerk:</w:t>
      </w:r>
    </w:p>
    <w:p w14:paraId="1774E5FF" w14:textId="558D0245" w:rsidR="00AD5BFF" w:rsidRPr="00B9318A" w:rsidRDefault="00AD5BFF" w:rsidP="00AD5BFF">
      <w:pPr>
        <w:pStyle w:val="ListParagraph"/>
        <w:numPr>
          <w:ilvl w:val="1"/>
          <w:numId w:val="2"/>
        </w:numPr>
        <w:rPr>
          <w:sz w:val="18"/>
          <w:szCs w:val="18"/>
          <w:u w:val="single"/>
        </w:rPr>
      </w:pPr>
      <w:r w:rsidRPr="00B9318A">
        <w:rPr>
          <w:sz w:val="18"/>
          <w:szCs w:val="18"/>
        </w:rPr>
        <w:t>“</w:t>
      </w:r>
      <w:r w:rsidR="00B9318A" w:rsidRPr="00B9318A">
        <w:rPr>
          <w:sz w:val="18"/>
          <w:szCs w:val="18"/>
        </w:rPr>
        <w:t xml:space="preserve">24 Hour Facility Exam for Involuntary Commitment” </w:t>
      </w:r>
      <w:r w:rsidR="003052D7" w:rsidRPr="00B9318A">
        <w:rPr>
          <w:sz w:val="18"/>
          <w:szCs w:val="18"/>
        </w:rPr>
        <w:t>(Form DMH 5-72-</w:t>
      </w:r>
      <w:r w:rsidR="00B9318A" w:rsidRPr="00B9318A">
        <w:rPr>
          <w:sz w:val="18"/>
          <w:szCs w:val="18"/>
        </w:rPr>
        <w:t>19-2</w:t>
      </w:r>
      <w:r w:rsidR="003052D7" w:rsidRPr="00B9318A">
        <w:rPr>
          <w:sz w:val="18"/>
          <w:szCs w:val="18"/>
        </w:rPr>
        <w:t>)</w:t>
      </w:r>
    </w:p>
    <w:p w14:paraId="7AA8230D" w14:textId="77777777" w:rsidR="00AD5BFF" w:rsidRPr="00232CE6" w:rsidRDefault="00AD5BFF" w:rsidP="00AD5BFF">
      <w:pPr>
        <w:pStyle w:val="ListParagraph"/>
        <w:numPr>
          <w:ilvl w:val="1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>“Request for Hearing” (Form DMH 5-76-1)</w:t>
      </w:r>
    </w:p>
    <w:p w14:paraId="1F55AB80" w14:textId="5461408B" w:rsidR="00AD5BFF" w:rsidRPr="00232CE6" w:rsidRDefault="00D5185A" w:rsidP="00ED7BFE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>
        <w:rPr>
          <w:sz w:val="18"/>
          <w:szCs w:val="18"/>
        </w:rPr>
        <w:t>Provide</w:t>
      </w:r>
      <w:r w:rsidR="00AD5BFF" w:rsidRPr="00232CE6">
        <w:rPr>
          <w:sz w:val="18"/>
          <w:szCs w:val="18"/>
        </w:rPr>
        <w:t xml:space="preserve"> respondent’s counsel copies of:</w:t>
      </w:r>
    </w:p>
    <w:p w14:paraId="34A1180E" w14:textId="77777777" w:rsidR="00AD5BFF" w:rsidRPr="00232CE6" w:rsidRDefault="00AD5BFF" w:rsidP="00AD5BFF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232CE6">
        <w:rPr>
          <w:sz w:val="18"/>
          <w:szCs w:val="18"/>
        </w:rPr>
        <w:t>Petition</w:t>
      </w:r>
      <w:r w:rsidR="002306E8" w:rsidRPr="00232CE6">
        <w:rPr>
          <w:sz w:val="18"/>
          <w:szCs w:val="18"/>
        </w:rPr>
        <w:t xml:space="preserve"> and Affidavit (AOC-SP-300)</w:t>
      </w:r>
    </w:p>
    <w:p w14:paraId="2324A0A9" w14:textId="77777777" w:rsidR="00AD5BFF" w:rsidRPr="00232CE6" w:rsidRDefault="00AD5BFF" w:rsidP="00AD5BFF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232CE6">
        <w:rPr>
          <w:sz w:val="18"/>
          <w:szCs w:val="18"/>
        </w:rPr>
        <w:t>Cus</w:t>
      </w:r>
      <w:r w:rsidR="002306E8" w:rsidRPr="00232CE6">
        <w:rPr>
          <w:sz w:val="18"/>
          <w:szCs w:val="18"/>
        </w:rPr>
        <w:t>t</w:t>
      </w:r>
      <w:r w:rsidRPr="00232CE6">
        <w:rPr>
          <w:sz w:val="18"/>
          <w:szCs w:val="18"/>
        </w:rPr>
        <w:t>ody order</w:t>
      </w:r>
      <w:r w:rsidR="002306E8" w:rsidRPr="00232CE6">
        <w:rPr>
          <w:sz w:val="18"/>
          <w:szCs w:val="18"/>
        </w:rPr>
        <w:t xml:space="preserve"> (AOC-SP-302A or AOC-SP-302b)</w:t>
      </w:r>
    </w:p>
    <w:p w14:paraId="4F34497D" w14:textId="48F050A7" w:rsidR="002306E8" w:rsidRPr="00B9318A" w:rsidRDefault="002306E8" w:rsidP="00032A3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B9318A">
        <w:rPr>
          <w:sz w:val="18"/>
          <w:szCs w:val="18"/>
        </w:rPr>
        <w:t>The examination form completed at site of first exam (Form DMH 5-72-</w:t>
      </w:r>
      <w:r w:rsidR="00B9318A" w:rsidRPr="00B9318A">
        <w:rPr>
          <w:sz w:val="18"/>
          <w:szCs w:val="18"/>
        </w:rPr>
        <w:t>19</w:t>
      </w:r>
      <w:r w:rsidRPr="00B9318A">
        <w:rPr>
          <w:sz w:val="18"/>
          <w:szCs w:val="18"/>
        </w:rPr>
        <w:t>)</w:t>
      </w:r>
      <w:r w:rsidR="00B9318A" w:rsidRPr="00B9318A">
        <w:rPr>
          <w:rFonts w:eastAsiaTheme="minorEastAsia" w:hAnsi="Calibri"/>
          <w:color w:val="003399"/>
          <w:kern w:val="24"/>
          <w:sz w:val="48"/>
          <w:szCs w:val="48"/>
        </w:rPr>
        <w:t xml:space="preserve"> </w:t>
      </w:r>
    </w:p>
    <w:p w14:paraId="23F40EF0" w14:textId="74D9344E" w:rsidR="00AD5BFF" w:rsidRPr="00B9318A" w:rsidRDefault="002306E8" w:rsidP="00AD5BFF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B9318A">
        <w:rPr>
          <w:sz w:val="18"/>
          <w:szCs w:val="18"/>
        </w:rPr>
        <w:t>The examination form (“second exam”) completed at the 24-hour facility (Form DMH 5-72-</w:t>
      </w:r>
      <w:r w:rsidR="00B9318A" w:rsidRPr="00B9318A">
        <w:rPr>
          <w:sz w:val="18"/>
          <w:szCs w:val="18"/>
        </w:rPr>
        <w:t>19-2</w:t>
      </w:r>
      <w:r w:rsidRPr="00B9318A">
        <w:rPr>
          <w:sz w:val="18"/>
          <w:szCs w:val="18"/>
        </w:rPr>
        <w:t>)</w:t>
      </w:r>
    </w:p>
    <w:p w14:paraId="64EDCE73" w14:textId="77777777" w:rsidR="00AD5BFF" w:rsidRPr="00232CE6" w:rsidRDefault="00AD5BFF" w:rsidP="00AD5BFF">
      <w:pPr>
        <w:pStyle w:val="ListParagraph"/>
        <w:numPr>
          <w:ilvl w:val="1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 xml:space="preserve">Request for Hearing </w:t>
      </w:r>
      <w:r w:rsidR="002306E8" w:rsidRPr="00232CE6">
        <w:rPr>
          <w:sz w:val="18"/>
          <w:szCs w:val="18"/>
        </w:rPr>
        <w:t>(Form DMH 5-76-1)</w:t>
      </w:r>
    </w:p>
    <w:p w14:paraId="1215F3A3" w14:textId="77777777" w:rsidR="00F80FBB" w:rsidRPr="00232CE6" w:rsidRDefault="00F80FBB" w:rsidP="00ED7BFE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 xml:space="preserve">Upon receipt of the physician’s findings that the respondent meets the criteria for inpatient commitment, the clerk of court shall assign counsel, calendar a hearing, and notify the respondent, his counsel, and the petitioner of the time and place of the hearing. </w:t>
      </w:r>
    </w:p>
    <w:p w14:paraId="7E6BE54F" w14:textId="77777777" w:rsidR="00B9318A" w:rsidRPr="00B9318A" w:rsidRDefault="00FA6DF3" w:rsidP="00B9318A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232CE6">
        <w:rPr>
          <w:sz w:val="18"/>
          <w:szCs w:val="18"/>
        </w:rPr>
        <w:t xml:space="preserve">Fifteen days before the end of the initial inpatient commitment, if the attending physician determines that commitment beyond the initial period will be necessary, she shall so notify the clerk. </w:t>
      </w:r>
      <w:r w:rsidR="00B9318A" w:rsidRPr="00B9318A">
        <w:rPr>
          <w:sz w:val="18"/>
          <w:szCs w:val="18"/>
        </w:rPr>
        <w:t>(Form DMH 5-76-1)</w:t>
      </w:r>
    </w:p>
    <w:p w14:paraId="304E743B" w14:textId="52CD02BF" w:rsidR="00F80FBB" w:rsidRPr="00B9318A" w:rsidRDefault="00F80FBB" w:rsidP="00A94822">
      <w:pPr>
        <w:pStyle w:val="ListParagraph"/>
        <w:numPr>
          <w:ilvl w:val="0"/>
          <w:numId w:val="2"/>
        </w:numPr>
        <w:rPr>
          <w:sz w:val="18"/>
          <w:szCs w:val="18"/>
          <w:u w:val="single"/>
        </w:rPr>
      </w:pPr>
      <w:r w:rsidRPr="00B9318A">
        <w:rPr>
          <w:sz w:val="18"/>
          <w:szCs w:val="18"/>
        </w:rPr>
        <w:t xml:space="preserve">At least 10 days before the end of the initial period, the clerk shall calendar the rehearing.  </w:t>
      </w:r>
    </w:p>
    <w:sectPr w:rsidR="00F80FBB" w:rsidRPr="00B9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8F7"/>
    <w:multiLevelType w:val="hybridMultilevel"/>
    <w:tmpl w:val="C5BC4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D544F"/>
    <w:multiLevelType w:val="hybridMultilevel"/>
    <w:tmpl w:val="6888C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1E62"/>
    <w:multiLevelType w:val="hybridMultilevel"/>
    <w:tmpl w:val="87A8A372"/>
    <w:lvl w:ilvl="0" w:tplc="FF5C3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46F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41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AF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549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A4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E4C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A0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49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38"/>
    <w:rsid w:val="00040820"/>
    <w:rsid w:val="00057E2F"/>
    <w:rsid w:val="000B22E2"/>
    <w:rsid w:val="001A61F5"/>
    <w:rsid w:val="002306E8"/>
    <w:rsid w:val="00232CE6"/>
    <w:rsid w:val="002653DF"/>
    <w:rsid w:val="002E7222"/>
    <w:rsid w:val="003052D7"/>
    <w:rsid w:val="00331283"/>
    <w:rsid w:val="00416575"/>
    <w:rsid w:val="004D3055"/>
    <w:rsid w:val="00544A33"/>
    <w:rsid w:val="00626928"/>
    <w:rsid w:val="007030E6"/>
    <w:rsid w:val="00846DF7"/>
    <w:rsid w:val="008F5006"/>
    <w:rsid w:val="009431E6"/>
    <w:rsid w:val="00952D06"/>
    <w:rsid w:val="00AD5BFF"/>
    <w:rsid w:val="00B9318A"/>
    <w:rsid w:val="00BB6738"/>
    <w:rsid w:val="00C04E1C"/>
    <w:rsid w:val="00D5185A"/>
    <w:rsid w:val="00D8238B"/>
    <w:rsid w:val="00E1127B"/>
    <w:rsid w:val="00ED7BFE"/>
    <w:rsid w:val="00EF74C8"/>
    <w:rsid w:val="00F27F9E"/>
    <w:rsid w:val="00F54688"/>
    <w:rsid w:val="00F80FBB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412D"/>
  <w15:chartTrackingRefBased/>
  <w15:docId w15:val="{7D1DC849-C07E-47B3-B5C5-A85ED4F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8BBE-32A5-4C81-899F-A1C8172B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710</Words>
  <Characters>3394</Characters>
  <Application>Microsoft Office Word</Application>
  <DocSecurity>0</DocSecurity>
  <Lines>42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Botts, Mark F</dc:creator>
  <cp:keywords/>
  <dc:description/>
  <cp:lastModifiedBy>Botts, Mark F</cp:lastModifiedBy>
  <cp:revision>2</cp:revision>
  <dcterms:created xsi:type="dcterms:W3CDTF">2019-12-17T20:43:00Z</dcterms:created>
  <dcterms:modified xsi:type="dcterms:W3CDTF">2019-12-17T20:43:00Z</dcterms:modified>
</cp:coreProperties>
</file>