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9F2F" w14:textId="4580EE31" w:rsidR="00F709B5" w:rsidRPr="00131C55" w:rsidRDefault="001820A3" w:rsidP="001820A3">
      <w:pPr>
        <w:pStyle w:val="NoSpacing"/>
        <w:ind w:left="5040" w:firstLine="720"/>
        <w:rPr>
          <w:rFonts w:cstheme="minorHAnsi"/>
        </w:rPr>
      </w:pPr>
      <w:r w:rsidRPr="00131C55">
        <w:rPr>
          <w:rFonts w:cstheme="minorHAnsi"/>
        </w:rPr>
        <w:t xml:space="preserve">        </w:t>
      </w:r>
      <w:r w:rsidR="00F709B5" w:rsidRPr="00131C55">
        <w:rPr>
          <w:rFonts w:cstheme="minorHAnsi"/>
        </w:rPr>
        <w:t>Phil Dixon, Jr.</w:t>
      </w:r>
    </w:p>
    <w:p w14:paraId="3A0E7783" w14:textId="3E066BE6" w:rsidR="00F709B5" w:rsidRPr="00C453D4" w:rsidRDefault="001820A3" w:rsidP="001820A3">
      <w:pPr>
        <w:pStyle w:val="NoSpacing"/>
        <w:ind w:left="5040" w:firstLine="720"/>
        <w:rPr>
          <w:rFonts w:cstheme="minorHAnsi"/>
        </w:rPr>
      </w:pPr>
      <w:r w:rsidRPr="00C453D4">
        <w:rPr>
          <w:rFonts w:cstheme="minorHAnsi"/>
        </w:rPr>
        <w:t xml:space="preserve">       </w:t>
      </w:r>
      <w:r w:rsidR="00C453D4">
        <w:rPr>
          <w:rFonts w:cstheme="minorHAnsi"/>
        </w:rPr>
        <w:t xml:space="preserve"> </w:t>
      </w:r>
      <w:r w:rsidR="00F709B5" w:rsidRPr="00C453D4">
        <w:rPr>
          <w:rFonts w:cstheme="minorHAnsi"/>
        </w:rPr>
        <w:t>919.966.4248</w:t>
      </w:r>
    </w:p>
    <w:p w14:paraId="580BA13A" w14:textId="5AC2A999" w:rsidR="00F709B5" w:rsidRPr="00C453D4" w:rsidRDefault="001820A3" w:rsidP="001820A3">
      <w:pPr>
        <w:pStyle w:val="NoSpacing"/>
        <w:ind w:left="5040" w:firstLine="720"/>
        <w:rPr>
          <w:rFonts w:cstheme="minorHAnsi"/>
        </w:rPr>
      </w:pPr>
      <w:r w:rsidRPr="00C453D4">
        <w:rPr>
          <w:rFonts w:cstheme="minorHAnsi"/>
        </w:rPr>
        <w:t xml:space="preserve">        </w:t>
      </w:r>
      <w:hyperlink r:id="rId8" w:history="1">
        <w:r w:rsidR="00C453D4" w:rsidRPr="008A634D">
          <w:rPr>
            <w:rStyle w:val="Hyperlink"/>
            <w:rFonts w:cstheme="minorHAnsi"/>
          </w:rPr>
          <w:t>dixon@sog.unc.edu</w:t>
        </w:r>
      </w:hyperlink>
    </w:p>
    <w:p w14:paraId="5135073C" w14:textId="41D1C9AA" w:rsidR="00F709B5" w:rsidRPr="00C453D4" w:rsidRDefault="001820A3" w:rsidP="001820A3">
      <w:pPr>
        <w:pStyle w:val="NoSpacing"/>
        <w:ind w:left="5760"/>
        <w:rPr>
          <w:rFonts w:cstheme="minorHAnsi"/>
        </w:rPr>
      </w:pPr>
      <w:r w:rsidRPr="00C453D4">
        <w:rPr>
          <w:rFonts w:cstheme="minorHAnsi"/>
        </w:rPr>
        <w:t xml:space="preserve">        </w:t>
      </w:r>
      <w:r w:rsidR="00F709B5" w:rsidRPr="00C453D4">
        <w:rPr>
          <w:rFonts w:cstheme="minorHAnsi"/>
        </w:rPr>
        <w:t xml:space="preserve">UNC School of Government © </w:t>
      </w:r>
    </w:p>
    <w:p w14:paraId="1E3DC720" w14:textId="77777777" w:rsidR="009612A3" w:rsidRDefault="009612A3" w:rsidP="00A542B5">
      <w:pPr>
        <w:tabs>
          <w:tab w:val="center" w:pos="4680"/>
        </w:tabs>
        <w:rPr>
          <w:rFonts w:asciiTheme="majorHAnsi" w:hAnsiTheme="majorHAnsi" w:cstheme="majorHAnsi"/>
          <w:b/>
          <w:bCs/>
          <w:sz w:val="28"/>
          <w:szCs w:val="28"/>
        </w:rPr>
      </w:pPr>
    </w:p>
    <w:p w14:paraId="4679A2A4" w14:textId="2E128390" w:rsidR="00DC2567" w:rsidRDefault="009612A3" w:rsidP="00DC2567">
      <w:pPr>
        <w:tabs>
          <w:tab w:val="center" w:pos="4680"/>
        </w:tabs>
        <w:rPr>
          <w:rFonts w:asciiTheme="majorHAnsi" w:hAnsiTheme="majorHAnsi" w:cstheme="majorHAnsi"/>
          <w:b/>
          <w:bCs/>
          <w:sz w:val="28"/>
          <w:szCs w:val="28"/>
        </w:rPr>
      </w:pPr>
      <w:r>
        <w:rPr>
          <w:rFonts w:asciiTheme="majorHAnsi" w:hAnsiTheme="majorHAnsi" w:cstheme="majorHAnsi"/>
          <w:b/>
          <w:bCs/>
          <w:sz w:val="28"/>
          <w:szCs w:val="28"/>
        </w:rPr>
        <w:t>C</w:t>
      </w:r>
      <w:r w:rsidR="009C4E98" w:rsidRPr="00946047">
        <w:rPr>
          <w:rFonts w:asciiTheme="majorHAnsi" w:hAnsiTheme="majorHAnsi" w:cstheme="majorHAnsi"/>
          <w:b/>
          <w:bCs/>
          <w:sz w:val="28"/>
          <w:szCs w:val="28"/>
        </w:rPr>
        <w:t>ase Summaries: Fourth Circuit Court of Appeals (</w:t>
      </w:r>
      <w:r w:rsidR="00DC2567">
        <w:rPr>
          <w:rFonts w:asciiTheme="majorHAnsi" w:hAnsiTheme="majorHAnsi" w:cstheme="majorHAnsi"/>
          <w:b/>
          <w:bCs/>
          <w:sz w:val="28"/>
          <w:szCs w:val="28"/>
        </w:rPr>
        <w:t xml:space="preserve">July </w:t>
      </w:r>
      <w:r w:rsidR="00DC2567">
        <w:rPr>
          <w:rFonts w:asciiTheme="majorHAnsi" w:hAnsiTheme="majorHAnsi" w:cstheme="majorHAnsi"/>
          <w:b/>
          <w:bCs/>
          <w:sz w:val="28"/>
          <w:szCs w:val="28"/>
        </w:rPr>
        <w:softHyphen/>
      </w:r>
      <w:r w:rsidR="00DC2567">
        <w:rPr>
          <w:rFonts w:asciiTheme="majorHAnsi" w:hAnsiTheme="majorHAnsi" w:cstheme="majorHAnsi"/>
          <w:b/>
          <w:bCs/>
          <w:sz w:val="28"/>
          <w:szCs w:val="28"/>
        </w:rPr>
        <w:softHyphen/>
      </w:r>
      <w:r w:rsidR="00DC2567">
        <w:rPr>
          <w:rFonts w:asciiTheme="majorHAnsi" w:hAnsiTheme="majorHAnsi" w:cstheme="majorHAnsi"/>
          <w:b/>
          <w:bCs/>
          <w:sz w:val="28"/>
          <w:szCs w:val="28"/>
        </w:rPr>
        <w:softHyphen/>
      </w:r>
      <w:r w:rsidR="00113AAE">
        <w:rPr>
          <w:rFonts w:asciiTheme="majorHAnsi" w:hAnsiTheme="majorHAnsi" w:cstheme="majorHAnsi"/>
          <w:b/>
          <w:bCs/>
          <w:sz w:val="28"/>
          <w:szCs w:val="28"/>
        </w:rPr>
        <w:t xml:space="preserve">7, 8, </w:t>
      </w:r>
      <w:r w:rsidR="00151076">
        <w:rPr>
          <w:rFonts w:asciiTheme="majorHAnsi" w:hAnsiTheme="majorHAnsi" w:cstheme="majorHAnsi"/>
          <w:b/>
          <w:bCs/>
          <w:sz w:val="28"/>
          <w:szCs w:val="28"/>
        </w:rPr>
        <w:t>9, 13, and 21,</w:t>
      </w:r>
      <w:r w:rsidR="00DC2567">
        <w:rPr>
          <w:rFonts w:asciiTheme="majorHAnsi" w:hAnsiTheme="majorHAnsi" w:cstheme="majorHAnsi"/>
          <w:b/>
          <w:bCs/>
          <w:sz w:val="28"/>
          <w:szCs w:val="28"/>
        </w:rPr>
        <w:t xml:space="preserve"> 2021)</w:t>
      </w:r>
    </w:p>
    <w:p w14:paraId="12CA629E" w14:textId="64E53569" w:rsidR="001E6CF2" w:rsidRDefault="001E6CF2" w:rsidP="00131C55">
      <w:pPr>
        <w:pStyle w:val="NoSpacing"/>
        <w:rPr>
          <w:b/>
          <w:bCs/>
          <w:sz w:val="24"/>
          <w:szCs w:val="24"/>
        </w:rPr>
      </w:pPr>
      <w:r w:rsidRPr="00131C55">
        <w:rPr>
          <w:b/>
          <w:bCs/>
          <w:sz w:val="24"/>
          <w:szCs w:val="24"/>
        </w:rPr>
        <w:t xml:space="preserve">Reasonable suspicion existed to detain armed man despite open-carry laws; </w:t>
      </w:r>
      <w:r w:rsidR="00C96226" w:rsidRPr="00131C55">
        <w:rPr>
          <w:b/>
          <w:bCs/>
          <w:sz w:val="24"/>
          <w:szCs w:val="24"/>
        </w:rPr>
        <w:t xml:space="preserve">type of weapon is relevant to reasonable suspicion analysis; </w:t>
      </w:r>
      <w:r w:rsidRPr="00131C55">
        <w:rPr>
          <w:b/>
          <w:bCs/>
          <w:sz w:val="24"/>
          <w:szCs w:val="24"/>
        </w:rPr>
        <w:t xml:space="preserve">summary judgment to </w:t>
      </w:r>
      <w:r w:rsidR="00CA5CE1" w:rsidRPr="00131C55">
        <w:rPr>
          <w:b/>
          <w:bCs/>
          <w:sz w:val="24"/>
          <w:szCs w:val="24"/>
        </w:rPr>
        <w:t>officer</w:t>
      </w:r>
      <w:r w:rsidRPr="00131C55">
        <w:rPr>
          <w:b/>
          <w:bCs/>
          <w:sz w:val="24"/>
          <w:szCs w:val="24"/>
        </w:rPr>
        <w:t xml:space="preserve"> on Fourth Amendment wron</w:t>
      </w:r>
      <w:r w:rsidR="00CA5CE1" w:rsidRPr="00131C55">
        <w:rPr>
          <w:b/>
          <w:bCs/>
          <w:sz w:val="24"/>
          <w:szCs w:val="24"/>
        </w:rPr>
        <w:t xml:space="preserve">gful </w:t>
      </w:r>
      <w:r w:rsidRPr="00131C55">
        <w:rPr>
          <w:b/>
          <w:bCs/>
          <w:sz w:val="24"/>
          <w:szCs w:val="24"/>
        </w:rPr>
        <w:t xml:space="preserve">seizure </w:t>
      </w:r>
      <w:r w:rsidR="00CA5CE1" w:rsidRPr="00131C55">
        <w:rPr>
          <w:b/>
          <w:bCs/>
          <w:sz w:val="24"/>
          <w:szCs w:val="24"/>
        </w:rPr>
        <w:t xml:space="preserve">claim </w:t>
      </w:r>
      <w:r w:rsidRPr="00131C55">
        <w:rPr>
          <w:b/>
          <w:bCs/>
          <w:sz w:val="24"/>
          <w:szCs w:val="24"/>
        </w:rPr>
        <w:t>affirmed</w:t>
      </w:r>
    </w:p>
    <w:p w14:paraId="483EE25F" w14:textId="77777777" w:rsidR="00131C55" w:rsidRPr="00131C55" w:rsidRDefault="00131C55" w:rsidP="00131C55">
      <w:pPr>
        <w:pStyle w:val="NoSpacing"/>
        <w:rPr>
          <w:b/>
          <w:bCs/>
          <w:sz w:val="24"/>
          <w:szCs w:val="24"/>
        </w:rPr>
      </w:pPr>
    </w:p>
    <w:p w14:paraId="6DF67679" w14:textId="52E62652" w:rsidR="006430F0" w:rsidRDefault="00424AC3" w:rsidP="00DC2567">
      <w:pPr>
        <w:tabs>
          <w:tab w:val="center" w:pos="4680"/>
        </w:tabs>
        <w:rPr>
          <w:rFonts w:cstheme="minorHAnsi"/>
          <w:sz w:val="24"/>
          <w:szCs w:val="24"/>
        </w:rPr>
      </w:pPr>
      <w:hyperlink r:id="rId9" w:history="1">
        <w:r w:rsidR="00DC2567" w:rsidRPr="00DC2567">
          <w:rPr>
            <w:rStyle w:val="Hyperlink"/>
            <w:rFonts w:cstheme="minorHAnsi"/>
            <w:sz w:val="24"/>
            <w:szCs w:val="24"/>
          </w:rPr>
          <w:t>Walker v. Donahoe</w:t>
        </w:r>
      </w:hyperlink>
      <w:r w:rsidR="00DC2567">
        <w:rPr>
          <w:rFonts w:cstheme="minorHAnsi"/>
          <w:sz w:val="24"/>
          <w:szCs w:val="24"/>
        </w:rPr>
        <w:t xml:space="preserve">, </w:t>
      </w:r>
      <w:r w:rsidR="001E6CF2">
        <w:rPr>
          <w:rFonts w:cstheme="minorHAnsi"/>
          <w:sz w:val="24"/>
          <w:szCs w:val="24"/>
        </w:rPr>
        <w:t xml:space="preserve">3 </w:t>
      </w:r>
      <w:r w:rsidR="00DC2567">
        <w:rPr>
          <w:rFonts w:cstheme="minorHAnsi"/>
          <w:sz w:val="24"/>
          <w:szCs w:val="24"/>
        </w:rPr>
        <w:t xml:space="preserve">F.4th </w:t>
      </w:r>
      <w:r w:rsidR="001E6CF2">
        <w:rPr>
          <w:rFonts w:cstheme="minorHAnsi"/>
          <w:sz w:val="24"/>
          <w:szCs w:val="24"/>
        </w:rPr>
        <w:t>676</w:t>
      </w:r>
      <w:r w:rsidR="00DC2567">
        <w:rPr>
          <w:rFonts w:cstheme="minorHAnsi"/>
          <w:sz w:val="24"/>
          <w:szCs w:val="24"/>
        </w:rPr>
        <w:t xml:space="preserve"> (June 7, 2021). One week after the Parkland, Florida high school shootings in 2018, the plaintiff was walking through a suburban area </w:t>
      </w:r>
      <w:r w:rsidR="007878B6">
        <w:rPr>
          <w:rFonts w:cstheme="minorHAnsi"/>
          <w:sz w:val="24"/>
          <w:szCs w:val="24"/>
        </w:rPr>
        <w:t xml:space="preserve">near a school in the Southern District of West Virginia </w:t>
      </w:r>
      <w:r w:rsidR="00A85F0A">
        <w:rPr>
          <w:rFonts w:cstheme="minorHAnsi"/>
          <w:sz w:val="24"/>
          <w:szCs w:val="24"/>
        </w:rPr>
        <w:t xml:space="preserve">while </w:t>
      </w:r>
      <w:r w:rsidR="007878B6">
        <w:rPr>
          <w:rFonts w:cstheme="minorHAnsi"/>
          <w:sz w:val="24"/>
          <w:szCs w:val="24"/>
        </w:rPr>
        <w:t xml:space="preserve">armed </w:t>
      </w:r>
      <w:r w:rsidR="00DC2567">
        <w:rPr>
          <w:rFonts w:cstheme="minorHAnsi"/>
          <w:sz w:val="24"/>
          <w:szCs w:val="24"/>
        </w:rPr>
        <w:t>with an AR-15 assault rifle</w:t>
      </w:r>
      <w:r w:rsidR="00A85F0A">
        <w:rPr>
          <w:rFonts w:cstheme="minorHAnsi"/>
          <w:sz w:val="24"/>
          <w:szCs w:val="24"/>
        </w:rPr>
        <w:t xml:space="preserve"> and dressed in military-style garb</w:t>
      </w:r>
      <w:r w:rsidR="00DC2567">
        <w:rPr>
          <w:rFonts w:cstheme="minorHAnsi"/>
          <w:sz w:val="24"/>
          <w:szCs w:val="24"/>
        </w:rPr>
        <w:t xml:space="preserve">. In response to a 911 call </w:t>
      </w:r>
      <w:r w:rsidR="006430F0">
        <w:rPr>
          <w:rFonts w:cstheme="minorHAnsi"/>
          <w:sz w:val="24"/>
          <w:szCs w:val="24"/>
        </w:rPr>
        <w:t>about</w:t>
      </w:r>
      <w:r w:rsidR="00DC2567">
        <w:rPr>
          <w:rFonts w:cstheme="minorHAnsi"/>
          <w:sz w:val="24"/>
          <w:szCs w:val="24"/>
        </w:rPr>
        <w:t xml:space="preserve"> </w:t>
      </w:r>
      <w:r w:rsidR="00A85F0A">
        <w:rPr>
          <w:rFonts w:cstheme="minorHAnsi"/>
          <w:sz w:val="24"/>
          <w:szCs w:val="24"/>
        </w:rPr>
        <w:t>the</w:t>
      </w:r>
      <w:r w:rsidR="00DC2567">
        <w:rPr>
          <w:rFonts w:cstheme="minorHAnsi"/>
          <w:sz w:val="24"/>
          <w:szCs w:val="24"/>
        </w:rPr>
        <w:t xml:space="preserve"> armed man, police briefly detained the plaintiff. Open carr</w:t>
      </w:r>
      <w:r w:rsidR="007878B6">
        <w:rPr>
          <w:rFonts w:cstheme="minorHAnsi"/>
          <w:sz w:val="24"/>
          <w:szCs w:val="24"/>
        </w:rPr>
        <w:t>y</w:t>
      </w:r>
      <w:r w:rsidR="00DC2567">
        <w:rPr>
          <w:rFonts w:cstheme="minorHAnsi"/>
          <w:sz w:val="24"/>
          <w:szCs w:val="24"/>
        </w:rPr>
        <w:t xml:space="preserve"> of weapons is permitted in </w:t>
      </w:r>
      <w:r w:rsidR="00A85F0A">
        <w:rPr>
          <w:rFonts w:cstheme="minorHAnsi"/>
          <w:sz w:val="24"/>
          <w:szCs w:val="24"/>
        </w:rPr>
        <w:t>the state</w:t>
      </w:r>
      <w:r w:rsidR="00DC2567">
        <w:rPr>
          <w:rFonts w:cstheme="minorHAnsi"/>
          <w:sz w:val="24"/>
          <w:szCs w:val="24"/>
        </w:rPr>
        <w:t xml:space="preserve">, although state law </w:t>
      </w:r>
      <w:r w:rsidR="007878B6">
        <w:rPr>
          <w:rFonts w:cstheme="minorHAnsi"/>
          <w:sz w:val="24"/>
          <w:szCs w:val="24"/>
        </w:rPr>
        <w:t>restricts</w:t>
      </w:r>
      <w:r w:rsidR="00DC2567">
        <w:rPr>
          <w:rFonts w:cstheme="minorHAnsi"/>
          <w:sz w:val="24"/>
          <w:szCs w:val="24"/>
        </w:rPr>
        <w:t xml:space="preserve"> open carry </w:t>
      </w:r>
      <w:r w:rsidR="00A85F0A">
        <w:rPr>
          <w:rFonts w:cstheme="minorHAnsi"/>
          <w:sz w:val="24"/>
          <w:szCs w:val="24"/>
        </w:rPr>
        <w:t>to</w:t>
      </w:r>
      <w:r w:rsidR="00DC2567">
        <w:rPr>
          <w:rFonts w:cstheme="minorHAnsi"/>
          <w:sz w:val="24"/>
          <w:szCs w:val="24"/>
        </w:rPr>
        <w:t xml:space="preserve"> persons 18 years of age</w:t>
      </w:r>
      <w:r w:rsidR="00A85F0A">
        <w:rPr>
          <w:rFonts w:cstheme="minorHAnsi"/>
          <w:sz w:val="24"/>
          <w:szCs w:val="24"/>
        </w:rPr>
        <w:t xml:space="preserve"> and older</w:t>
      </w:r>
      <w:r w:rsidR="00C15A42">
        <w:rPr>
          <w:rFonts w:cstheme="minorHAnsi"/>
          <w:sz w:val="24"/>
          <w:szCs w:val="24"/>
        </w:rPr>
        <w:t xml:space="preserve">. The </w:t>
      </w:r>
      <w:r w:rsidR="007878B6">
        <w:rPr>
          <w:rFonts w:cstheme="minorHAnsi"/>
          <w:sz w:val="24"/>
          <w:szCs w:val="24"/>
        </w:rPr>
        <w:t>plaintiff</w:t>
      </w:r>
      <w:r w:rsidR="00C15A42">
        <w:rPr>
          <w:rFonts w:cstheme="minorHAnsi"/>
          <w:sz w:val="24"/>
          <w:szCs w:val="24"/>
        </w:rPr>
        <w:t xml:space="preserve"> was 24 years old at the time, but the officers believed he could have been under the legal age to carry</w:t>
      </w:r>
      <w:r w:rsidR="007878B6">
        <w:rPr>
          <w:rFonts w:cstheme="minorHAnsi"/>
          <w:sz w:val="24"/>
          <w:szCs w:val="24"/>
        </w:rPr>
        <w:t xml:space="preserve"> based on his appearance</w:t>
      </w:r>
      <w:r w:rsidR="00C15A42">
        <w:rPr>
          <w:rFonts w:cstheme="minorHAnsi"/>
          <w:sz w:val="24"/>
          <w:szCs w:val="24"/>
        </w:rPr>
        <w:t xml:space="preserve">. The </w:t>
      </w:r>
      <w:r w:rsidR="007878B6">
        <w:rPr>
          <w:rFonts w:cstheme="minorHAnsi"/>
          <w:sz w:val="24"/>
          <w:szCs w:val="24"/>
        </w:rPr>
        <w:t>plaintiff</w:t>
      </w:r>
      <w:r w:rsidR="00C15A42">
        <w:rPr>
          <w:rFonts w:cstheme="minorHAnsi"/>
          <w:sz w:val="24"/>
          <w:szCs w:val="24"/>
        </w:rPr>
        <w:t xml:space="preserve"> was polite but largely uncooperative </w:t>
      </w:r>
      <w:r w:rsidR="001E6CF2">
        <w:rPr>
          <w:rFonts w:cstheme="minorHAnsi"/>
          <w:sz w:val="24"/>
          <w:szCs w:val="24"/>
        </w:rPr>
        <w:t>during the encounter</w:t>
      </w:r>
      <w:r w:rsidR="006430F0">
        <w:rPr>
          <w:rFonts w:cstheme="minorHAnsi"/>
          <w:sz w:val="24"/>
          <w:szCs w:val="24"/>
        </w:rPr>
        <w:t>, refusing</w:t>
      </w:r>
      <w:r w:rsidR="00C15A42">
        <w:rPr>
          <w:rFonts w:cstheme="minorHAnsi"/>
          <w:sz w:val="24"/>
          <w:szCs w:val="24"/>
        </w:rPr>
        <w:t xml:space="preserve"> to answer questions about the gun</w:t>
      </w:r>
      <w:r w:rsidR="00A85F0A">
        <w:rPr>
          <w:rFonts w:cstheme="minorHAnsi"/>
          <w:sz w:val="24"/>
          <w:szCs w:val="24"/>
        </w:rPr>
        <w:t xml:space="preserve"> or his business</w:t>
      </w:r>
      <w:r w:rsidR="006430F0">
        <w:rPr>
          <w:rFonts w:cstheme="minorHAnsi"/>
          <w:sz w:val="24"/>
          <w:szCs w:val="24"/>
        </w:rPr>
        <w:t xml:space="preserve"> and </w:t>
      </w:r>
      <w:r w:rsidR="00A85F0A">
        <w:rPr>
          <w:rFonts w:cstheme="minorHAnsi"/>
          <w:sz w:val="24"/>
          <w:szCs w:val="24"/>
        </w:rPr>
        <w:t xml:space="preserve">disputing </w:t>
      </w:r>
      <w:r w:rsidR="004571EE">
        <w:rPr>
          <w:rFonts w:cstheme="minorHAnsi"/>
          <w:sz w:val="24"/>
          <w:szCs w:val="24"/>
        </w:rPr>
        <w:t xml:space="preserve">the justification for </w:t>
      </w:r>
      <w:r w:rsidR="00A85F0A">
        <w:rPr>
          <w:rFonts w:cstheme="minorHAnsi"/>
          <w:sz w:val="24"/>
          <w:szCs w:val="24"/>
        </w:rPr>
        <w:t xml:space="preserve">his detention. </w:t>
      </w:r>
      <w:r w:rsidR="00C15A42">
        <w:rPr>
          <w:rFonts w:cstheme="minorHAnsi"/>
          <w:sz w:val="24"/>
          <w:szCs w:val="24"/>
        </w:rPr>
        <w:t xml:space="preserve">After a background check revealed that the defendant was </w:t>
      </w:r>
      <w:r w:rsidR="006430F0">
        <w:rPr>
          <w:rFonts w:cstheme="minorHAnsi"/>
          <w:sz w:val="24"/>
          <w:szCs w:val="24"/>
        </w:rPr>
        <w:t>eligible to possess and carry</w:t>
      </w:r>
      <w:r w:rsidR="00C15A42">
        <w:rPr>
          <w:rFonts w:cstheme="minorHAnsi"/>
          <w:sz w:val="24"/>
          <w:szCs w:val="24"/>
        </w:rPr>
        <w:t xml:space="preserve"> the weapon, he was released. The </w:t>
      </w:r>
      <w:r w:rsidR="007878B6">
        <w:rPr>
          <w:rFonts w:cstheme="minorHAnsi"/>
          <w:sz w:val="24"/>
          <w:szCs w:val="24"/>
        </w:rPr>
        <w:t>interaction</w:t>
      </w:r>
      <w:r w:rsidR="00C15A42">
        <w:rPr>
          <w:rFonts w:cstheme="minorHAnsi"/>
          <w:sz w:val="24"/>
          <w:szCs w:val="24"/>
        </w:rPr>
        <w:t xml:space="preserve"> took less than nine minutes.</w:t>
      </w:r>
      <w:r w:rsidR="00DC2567">
        <w:rPr>
          <w:rFonts w:cstheme="minorHAnsi"/>
          <w:sz w:val="24"/>
          <w:szCs w:val="24"/>
        </w:rPr>
        <w:t xml:space="preserve"> </w:t>
      </w:r>
      <w:r w:rsidR="00C15A42">
        <w:rPr>
          <w:rFonts w:cstheme="minorHAnsi"/>
          <w:sz w:val="24"/>
          <w:szCs w:val="24"/>
        </w:rPr>
        <w:t xml:space="preserve">The plaintiff sued, alleging a Fourth Amendment </w:t>
      </w:r>
      <w:r w:rsidR="008C0221">
        <w:rPr>
          <w:rFonts w:cstheme="minorHAnsi"/>
          <w:sz w:val="24"/>
          <w:szCs w:val="24"/>
        </w:rPr>
        <w:t>illegal seizure</w:t>
      </w:r>
      <w:r w:rsidR="007878B6">
        <w:rPr>
          <w:rFonts w:cstheme="minorHAnsi"/>
          <w:sz w:val="24"/>
          <w:szCs w:val="24"/>
        </w:rPr>
        <w:t xml:space="preserve">. </w:t>
      </w:r>
    </w:p>
    <w:p w14:paraId="567B1133" w14:textId="1AB262FA" w:rsidR="007878B6" w:rsidRDefault="007878B6" w:rsidP="00DC2567">
      <w:pPr>
        <w:tabs>
          <w:tab w:val="center" w:pos="4680"/>
        </w:tabs>
        <w:rPr>
          <w:rFonts w:cstheme="minorHAnsi"/>
          <w:sz w:val="24"/>
          <w:szCs w:val="24"/>
        </w:rPr>
      </w:pPr>
      <w:r>
        <w:rPr>
          <w:rFonts w:cstheme="minorHAnsi"/>
          <w:sz w:val="24"/>
          <w:szCs w:val="24"/>
        </w:rPr>
        <w:t xml:space="preserve">The trial court granted summary judgment to the officer, finding the seizure was brief, reasonable, and supported by reasonable suspicion. </w:t>
      </w:r>
      <w:r w:rsidR="006430F0">
        <w:rPr>
          <w:rFonts w:cstheme="minorHAnsi"/>
          <w:sz w:val="24"/>
          <w:szCs w:val="24"/>
        </w:rPr>
        <w:t xml:space="preserve">It </w:t>
      </w:r>
      <w:r w:rsidR="00476BF2">
        <w:rPr>
          <w:rFonts w:cstheme="minorHAnsi"/>
          <w:sz w:val="24"/>
          <w:szCs w:val="24"/>
        </w:rPr>
        <w:t>held</w:t>
      </w:r>
      <w:r w:rsidR="006430F0">
        <w:rPr>
          <w:rFonts w:cstheme="minorHAnsi"/>
          <w:sz w:val="24"/>
          <w:szCs w:val="24"/>
        </w:rPr>
        <w:t xml:space="preserve"> that </w:t>
      </w:r>
      <w:r>
        <w:rPr>
          <w:rFonts w:cstheme="minorHAnsi"/>
          <w:sz w:val="24"/>
          <w:szCs w:val="24"/>
        </w:rPr>
        <w:t xml:space="preserve">the officer reasonably believed that the plaintiff could have been violating the age restrictions for open carry. The trial court further found that the totality of circumstances—the recent mass shooting, the 911 report, the plaintiff’s proximity to a school, his military-style dress, and young appearance—created reasonable suspicion to believe the plaintiff may have posed a threat to the nearby school. The trial court alternatively held that the officer did not violate any clearly established rights and was therefore protected from liability by qualified immunity. </w:t>
      </w:r>
      <w:r w:rsidR="001E6CF2">
        <w:rPr>
          <w:rFonts w:cstheme="minorHAnsi"/>
          <w:sz w:val="24"/>
          <w:szCs w:val="24"/>
        </w:rPr>
        <w:t>A majority of the</w:t>
      </w:r>
      <w:r w:rsidR="00C30F17">
        <w:rPr>
          <w:rFonts w:cstheme="minorHAnsi"/>
          <w:sz w:val="24"/>
          <w:szCs w:val="24"/>
        </w:rPr>
        <w:t xml:space="preserve"> Fourth Circuit affirmed</w:t>
      </w:r>
      <w:r w:rsidR="00C9578E">
        <w:rPr>
          <w:rFonts w:cstheme="minorHAnsi"/>
          <w:sz w:val="24"/>
          <w:szCs w:val="24"/>
        </w:rPr>
        <w:t xml:space="preserve"> </w:t>
      </w:r>
      <w:r w:rsidR="00C96226">
        <w:rPr>
          <w:rFonts w:cstheme="minorHAnsi"/>
          <w:sz w:val="24"/>
          <w:szCs w:val="24"/>
        </w:rPr>
        <w:t xml:space="preserve">the </w:t>
      </w:r>
      <w:r w:rsidR="00C9578E">
        <w:rPr>
          <w:rFonts w:cstheme="minorHAnsi"/>
          <w:sz w:val="24"/>
          <w:szCs w:val="24"/>
        </w:rPr>
        <w:t>reasonable suspicio</w:t>
      </w:r>
      <w:r w:rsidR="00C96226">
        <w:rPr>
          <w:rFonts w:cstheme="minorHAnsi"/>
          <w:sz w:val="24"/>
          <w:szCs w:val="24"/>
        </w:rPr>
        <w:t>n ruling</w:t>
      </w:r>
      <w:r w:rsidR="00C9578E">
        <w:rPr>
          <w:rFonts w:cstheme="minorHAnsi"/>
          <w:sz w:val="24"/>
          <w:szCs w:val="24"/>
        </w:rPr>
        <w:t>.</w:t>
      </w:r>
    </w:p>
    <w:p w14:paraId="7D93826F" w14:textId="5C559D21" w:rsidR="00C9578E" w:rsidRDefault="00BD4C1F" w:rsidP="00DC2567">
      <w:pPr>
        <w:tabs>
          <w:tab w:val="center" w:pos="4680"/>
        </w:tabs>
        <w:rPr>
          <w:rStyle w:val="markedcontent"/>
          <w:rFonts w:cstheme="minorHAnsi"/>
          <w:sz w:val="24"/>
          <w:szCs w:val="24"/>
        </w:rPr>
      </w:pPr>
      <w:r>
        <w:rPr>
          <w:rFonts w:cstheme="minorHAnsi"/>
          <w:sz w:val="24"/>
          <w:szCs w:val="24"/>
        </w:rPr>
        <w:t xml:space="preserve">Under circuit precedent, “where a state permits individuals to openly carry firearms, the exercise of this right, without more, cannot justify an investigatory detention.” </w:t>
      </w:r>
      <w:r w:rsidRPr="00BD4C1F">
        <w:rPr>
          <w:rFonts w:cstheme="minorHAnsi"/>
          <w:i/>
          <w:iCs/>
          <w:sz w:val="24"/>
          <w:szCs w:val="24"/>
        </w:rPr>
        <w:t>Walker</w:t>
      </w:r>
      <w:r>
        <w:rPr>
          <w:rFonts w:cstheme="minorHAnsi"/>
          <w:sz w:val="24"/>
          <w:szCs w:val="24"/>
        </w:rPr>
        <w:t xml:space="preserve"> Slip op. at 13</w:t>
      </w:r>
      <w:r w:rsidR="00BA2B51">
        <w:rPr>
          <w:rFonts w:cstheme="minorHAnsi"/>
          <w:sz w:val="24"/>
          <w:szCs w:val="24"/>
        </w:rPr>
        <w:t xml:space="preserve"> (citation omitted)</w:t>
      </w:r>
      <w:r>
        <w:rPr>
          <w:rFonts w:cstheme="minorHAnsi"/>
          <w:sz w:val="24"/>
          <w:szCs w:val="24"/>
        </w:rPr>
        <w:t xml:space="preserve">. The district court correctly noted this rule and correctly found that the officer here had more than the mere fact of the plaintiff’s open carrying of a rifle. A suspect’s open possession of a weapon in open-carry states, while not enough on its own, may contribute to reasonable suspicion. Further, the type of firearm is a relevant consideration in the analysis. </w:t>
      </w:r>
      <w:r w:rsidR="00BA2B51">
        <w:rPr>
          <w:rFonts w:cstheme="minorHAnsi"/>
          <w:sz w:val="24"/>
          <w:szCs w:val="24"/>
        </w:rPr>
        <w:t>In</w:t>
      </w:r>
      <w:r w:rsidR="00BA2B51" w:rsidRPr="00BA2B51">
        <w:rPr>
          <w:rFonts w:cstheme="minorHAnsi"/>
          <w:i/>
          <w:iCs/>
          <w:sz w:val="24"/>
          <w:szCs w:val="24"/>
        </w:rPr>
        <w:t xml:space="preserve"> District of Columbia v. Heller</w:t>
      </w:r>
      <w:r w:rsidR="00BA2B51">
        <w:rPr>
          <w:rFonts w:cstheme="minorHAnsi"/>
          <w:sz w:val="24"/>
          <w:szCs w:val="24"/>
        </w:rPr>
        <w:t>, 554 U.S. 570</w:t>
      </w:r>
      <w:r w:rsidR="001E6CF2">
        <w:rPr>
          <w:rFonts w:cstheme="minorHAnsi"/>
          <w:sz w:val="24"/>
          <w:szCs w:val="24"/>
        </w:rPr>
        <w:t>, 62</w:t>
      </w:r>
      <w:r w:rsidR="00F9512E">
        <w:rPr>
          <w:rFonts w:cstheme="minorHAnsi"/>
          <w:sz w:val="24"/>
          <w:szCs w:val="24"/>
        </w:rPr>
        <w:t>3</w:t>
      </w:r>
      <w:r w:rsidR="00BA2B51">
        <w:rPr>
          <w:rFonts w:cstheme="minorHAnsi"/>
          <w:sz w:val="24"/>
          <w:szCs w:val="24"/>
        </w:rPr>
        <w:t xml:space="preserve"> (2008), the U.S. Supreme Court noted that the right to possess and carry weapons “extends only to </w:t>
      </w:r>
      <w:r w:rsidR="00BA2B51">
        <w:rPr>
          <w:rFonts w:cstheme="minorHAnsi"/>
          <w:sz w:val="24"/>
          <w:szCs w:val="24"/>
        </w:rPr>
        <w:lastRenderedPageBreak/>
        <w:t xml:space="preserve">certain types of weapons,” observing that weapons like handguns, commonly used for self- and home-defense, were protected by the Second Amendment, while military-style weapons may be regulated without offending the constitutional right. </w:t>
      </w:r>
      <w:r w:rsidR="006430F0">
        <w:rPr>
          <w:rFonts w:cstheme="minorHAnsi"/>
          <w:sz w:val="24"/>
          <w:szCs w:val="24"/>
        </w:rPr>
        <w:t xml:space="preserve">Following </w:t>
      </w:r>
      <w:r w:rsidR="006430F0" w:rsidRPr="006430F0">
        <w:rPr>
          <w:rFonts w:cstheme="minorHAnsi"/>
          <w:i/>
          <w:iCs/>
          <w:sz w:val="24"/>
          <w:szCs w:val="24"/>
        </w:rPr>
        <w:t>Heller</w:t>
      </w:r>
      <w:r w:rsidR="006430F0">
        <w:rPr>
          <w:rFonts w:cstheme="minorHAnsi"/>
          <w:sz w:val="24"/>
          <w:szCs w:val="24"/>
        </w:rPr>
        <w:t>, t</w:t>
      </w:r>
      <w:r w:rsidR="00F9512E">
        <w:rPr>
          <w:rFonts w:cstheme="minorHAnsi"/>
          <w:sz w:val="24"/>
          <w:szCs w:val="24"/>
        </w:rPr>
        <w:t>he Fourth Circuit</w:t>
      </w:r>
      <w:r w:rsidR="006430F0">
        <w:rPr>
          <w:rFonts w:cstheme="minorHAnsi"/>
          <w:sz w:val="24"/>
          <w:szCs w:val="24"/>
        </w:rPr>
        <w:t xml:space="preserve"> </w:t>
      </w:r>
      <w:r w:rsidR="00F9512E">
        <w:rPr>
          <w:rFonts w:cstheme="minorHAnsi"/>
          <w:sz w:val="24"/>
          <w:szCs w:val="24"/>
        </w:rPr>
        <w:t>held that</w:t>
      </w:r>
      <w:r w:rsidR="00BA2B51">
        <w:rPr>
          <w:rFonts w:cstheme="minorHAnsi"/>
          <w:sz w:val="24"/>
          <w:szCs w:val="24"/>
        </w:rPr>
        <w:t xml:space="preserve"> Maryland’s ban on AR-15 rifles and similar high-capacity rifles was constitutional</w:t>
      </w:r>
      <w:r w:rsidR="00C96226">
        <w:rPr>
          <w:rFonts w:cstheme="minorHAnsi"/>
          <w:sz w:val="24"/>
          <w:szCs w:val="24"/>
        </w:rPr>
        <w:t>.</w:t>
      </w:r>
      <w:r w:rsidR="00BA2B51">
        <w:rPr>
          <w:rFonts w:cstheme="minorHAnsi"/>
          <w:sz w:val="24"/>
          <w:szCs w:val="24"/>
        </w:rPr>
        <w:t xml:space="preserve"> </w:t>
      </w:r>
      <w:r w:rsidR="00BA2B51" w:rsidRPr="00BA2B51">
        <w:rPr>
          <w:rFonts w:cstheme="minorHAnsi"/>
          <w:i/>
          <w:iCs/>
          <w:sz w:val="24"/>
          <w:szCs w:val="24"/>
        </w:rPr>
        <w:t>Kolbe v. Hogan</w:t>
      </w:r>
      <w:r w:rsidR="00BA2B51">
        <w:rPr>
          <w:rFonts w:cstheme="minorHAnsi"/>
          <w:sz w:val="24"/>
          <w:szCs w:val="24"/>
        </w:rPr>
        <w:t xml:space="preserve">, 849 F.3d 114 (4th Cir.) (en banc), </w:t>
      </w:r>
      <w:r w:rsidR="00BA2B51" w:rsidRPr="00BA2B51">
        <w:rPr>
          <w:rFonts w:cstheme="minorHAnsi"/>
          <w:i/>
          <w:iCs/>
          <w:sz w:val="24"/>
          <w:szCs w:val="24"/>
        </w:rPr>
        <w:t>cert. denied</w:t>
      </w:r>
      <w:r w:rsidR="00BA2B51">
        <w:rPr>
          <w:rFonts w:cstheme="minorHAnsi"/>
          <w:sz w:val="24"/>
          <w:szCs w:val="24"/>
        </w:rPr>
        <w:t xml:space="preserve">, 138 S. Ct. 469 (2017). </w:t>
      </w:r>
      <w:r w:rsidR="0056084C">
        <w:rPr>
          <w:rFonts w:cstheme="minorHAnsi"/>
          <w:sz w:val="24"/>
          <w:szCs w:val="24"/>
        </w:rPr>
        <w:t xml:space="preserve">While </w:t>
      </w:r>
      <w:r w:rsidR="00F9512E">
        <w:rPr>
          <w:rFonts w:cstheme="minorHAnsi"/>
          <w:sz w:val="24"/>
          <w:szCs w:val="24"/>
        </w:rPr>
        <w:t xml:space="preserve">both </w:t>
      </w:r>
      <w:r w:rsidR="00F9512E" w:rsidRPr="00F9512E">
        <w:rPr>
          <w:rFonts w:cstheme="minorHAnsi"/>
          <w:i/>
          <w:iCs/>
          <w:sz w:val="24"/>
          <w:szCs w:val="24"/>
        </w:rPr>
        <w:t>Heller</w:t>
      </w:r>
      <w:r w:rsidR="00F9512E">
        <w:rPr>
          <w:rFonts w:cstheme="minorHAnsi"/>
          <w:sz w:val="24"/>
          <w:szCs w:val="24"/>
        </w:rPr>
        <w:t xml:space="preserve"> and</w:t>
      </w:r>
      <w:r w:rsidR="00F9512E" w:rsidRPr="00F9512E">
        <w:rPr>
          <w:rFonts w:cstheme="minorHAnsi"/>
          <w:i/>
          <w:iCs/>
          <w:sz w:val="24"/>
          <w:szCs w:val="24"/>
        </w:rPr>
        <w:t xml:space="preserve"> Kolbe</w:t>
      </w:r>
      <w:r w:rsidR="00F9512E">
        <w:rPr>
          <w:rFonts w:cstheme="minorHAnsi"/>
          <w:sz w:val="24"/>
          <w:szCs w:val="24"/>
        </w:rPr>
        <w:t xml:space="preserve"> </w:t>
      </w:r>
      <w:r w:rsidR="0056084C">
        <w:rPr>
          <w:rFonts w:cstheme="minorHAnsi"/>
          <w:sz w:val="24"/>
          <w:szCs w:val="24"/>
        </w:rPr>
        <w:t>dealt with Second Amendment rights rather than Fourth Amendment reasonable suspicion, the court found them “instructive” and agreed with the district court that circumstances here supported reasonable suspicion: “</w:t>
      </w:r>
      <w:r w:rsidR="0056084C" w:rsidRPr="0056084C">
        <w:rPr>
          <w:rStyle w:val="markedcontent"/>
          <w:rFonts w:cstheme="minorHAnsi"/>
          <w:sz w:val="24"/>
          <w:szCs w:val="24"/>
        </w:rPr>
        <w:t>Simply put, the circumstances of Walker’s firearm possession were unusual and alarming enough to engender reasonable suspicion</w:t>
      </w:r>
      <w:r w:rsidR="0056084C">
        <w:rPr>
          <w:rStyle w:val="markedcontent"/>
          <w:rFonts w:cstheme="minorHAnsi"/>
          <w:sz w:val="24"/>
          <w:szCs w:val="24"/>
        </w:rPr>
        <w:t xml:space="preserve">,” for </w:t>
      </w:r>
      <w:r w:rsidR="00CA5CE1">
        <w:rPr>
          <w:rStyle w:val="markedcontent"/>
          <w:rFonts w:cstheme="minorHAnsi"/>
          <w:sz w:val="24"/>
          <w:szCs w:val="24"/>
        </w:rPr>
        <w:t xml:space="preserve">all </w:t>
      </w:r>
      <w:r w:rsidR="0056084C">
        <w:rPr>
          <w:rStyle w:val="markedcontent"/>
          <w:rFonts w:cstheme="minorHAnsi"/>
          <w:sz w:val="24"/>
          <w:szCs w:val="24"/>
        </w:rPr>
        <w:t xml:space="preserve">the reasons identified by the district court. </w:t>
      </w:r>
      <w:r w:rsidR="0056084C" w:rsidRPr="0056084C">
        <w:rPr>
          <w:rStyle w:val="markedcontent"/>
          <w:rFonts w:cstheme="minorHAnsi"/>
          <w:i/>
          <w:iCs/>
          <w:sz w:val="24"/>
          <w:szCs w:val="24"/>
        </w:rPr>
        <w:t>Walker</w:t>
      </w:r>
      <w:r w:rsidR="0056084C">
        <w:rPr>
          <w:rStyle w:val="markedcontent"/>
          <w:rFonts w:cstheme="minorHAnsi"/>
          <w:sz w:val="24"/>
          <w:szCs w:val="24"/>
        </w:rPr>
        <w:t xml:space="preserve"> Slip op. at 18. The district court’s ruling </w:t>
      </w:r>
      <w:r w:rsidR="006430F0">
        <w:rPr>
          <w:rStyle w:val="markedcontent"/>
          <w:rFonts w:cstheme="minorHAnsi"/>
          <w:sz w:val="24"/>
          <w:szCs w:val="24"/>
        </w:rPr>
        <w:t xml:space="preserve">on reasonable suspicion was </w:t>
      </w:r>
      <w:r w:rsidR="00C96226">
        <w:rPr>
          <w:rStyle w:val="markedcontent"/>
          <w:rFonts w:cstheme="minorHAnsi"/>
          <w:sz w:val="24"/>
          <w:szCs w:val="24"/>
        </w:rPr>
        <w:t xml:space="preserve">therefore </w:t>
      </w:r>
      <w:r w:rsidR="006430F0">
        <w:rPr>
          <w:rStyle w:val="markedcontent"/>
          <w:rFonts w:cstheme="minorHAnsi"/>
          <w:sz w:val="24"/>
          <w:szCs w:val="24"/>
        </w:rPr>
        <w:t>affirmed</w:t>
      </w:r>
      <w:r w:rsidR="0056084C">
        <w:rPr>
          <w:rStyle w:val="markedcontent"/>
          <w:rFonts w:cstheme="minorHAnsi"/>
          <w:sz w:val="24"/>
          <w:szCs w:val="24"/>
        </w:rPr>
        <w:t xml:space="preserve">. </w:t>
      </w:r>
    </w:p>
    <w:p w14:paraId="29BE8A06" w14:textId="5129B45F" w:rsidR="0056084C" w:rsidRDefault="0056084C" w:rsidP="00DC2567">
      <w:pPr>
        <w:tabs>
          <w:tab w:val="center" w:pos="4680"/>
        </w:tabs>
        <w:rPr>
          <w:rFonts w:cstheme="minorHAnsi"/>
          <w:sz w:val="24"/>
          <w:szCs w:val="24"/>
        </w:rPr>
      </w:pPr>
      <w:r>
        <w:rPr>
          <w:rStyle w:val="markedcontent"/>
          <w:rFonts w:cstheme="minorHAnsi"/>
          <w:sz w:val="24"/>
          <w:szCs w:val="24"/>
        </w:rPr>
        <w:t xml:space="preserve">Judge Richardson concurred in judgment </w:t>
      </w:r>
      <w:r w:rsidR="00CA5CE1">
        <w:rPr>
          <w:rStyle w:val="markedcontent"/>
          <w:rFonts w:cstheme="minorHAnsi"/>
          <w:sz w:val="24"/>
          <w:szCs w:val="24"/>
        </w:rPr>
        <w:t>but</w:t>
      </w:r>
      <w:r w:rsidR="00006A0F">
        <w:rPr>
          <w:rStyle w:val="markedcontent"/>
          <w:rFonts w:cstheme="minorHAnsi"/>
          <w:sz w:val="24"/>
          <w:szCs w:val="24"/>
        </w:rPr>
        <w:t xml:space="preserve"> would have affirmed the district court on the basis of qualified immunity.</w:t>
      </w:r>
    </w:p>
    <w:p w14:paraId="364B1F11" w14:textId="4E5FED58" w:rsidR="001B1ABB" w:rsidRDefault="00860876" w:rsidP="00131C55">
      <w:pPr>
        <w:pStyle w:val="NoSpacing"/>
        <w:rPr>
          <w:b/>
          <w:bCs/>
          <w:sz w:val="24"/>
          <w:szCs w:val="24"/>
        </w:rPr>
      </w:pPr>
      <w:r w:rsidRPr="00131C55">
        <w:rPr>
          <w:b/>
          <w:bCs/>
          <w:sz w:val="24"/>
          <w:szCs w:val="24"/>
        </w:rPr>
        <w:t>Tip by known informant, corroborated by law enforcement, supplied probable cause to search defendant’s vehicle for evidence of drug trafficking</w:t>
      </w:r>
    </w:p>
    <w:p w14:paraId="51211685" w14:textId="77777777" w:rsidR="00131C55" w:rsidRPr="00131C55" w:rsidRDefault="00131C55" w:rsidP="00131C55">
      <w:pPr>
        <w:pStyle w:val="NoSpacing"/>
        <w:rPr>
          <w:b/>
          <w:bCs/>
          <w:sz w:val="24"/>
          <w:szCs w:val="24"/>
        </w:rPr>
      </w:pPr>
    </w:p>
    <w:p w14:paraId="2A531BE7" w14:textId="51A65AEE" w:rsidR="00064696" w:rsidRDefault="00424AC3" w:rsidP="00DC2567">
      <w:pPr>
        <w:tabs>
          <w:tab w:val="center" w:pos="4680"/>
        </w:tabs>
        <w:rPr>
          <w:rStyle w:val="markedcontent"/>
          <w:sz w:val="24"/>
          <w:szCs w:val="24"/>
        </w:rPr>
      </w:pPr>
      <w:hyperlink r:id="rId10" w:history="1">
        <w:r w:rsidR="0021638E" w:rsidRPr="006B7CAB">
          <w:rPr>
            <w:rStyle w:val="Hyperlink"/>
            <w:sz w:val="24"/>
            <w:szCs w:val="24"/>
          </w:rPr>
          <w:t>U.S. v. Gondres-Medrano</w:t>
        </w:r>
      </w:hyperlink>
      <w:r w:rsidR="0021638E" w:rsidRPr="006B7CAB">
        <w:rPr>
          <w:rStyle w:val="markedcontent"/>
          <w:sz w:val="24"/>
          <w:szCs w:val="24"/>
        </w:rPr>
        <w:t xml:space="preserve">, </w:t>
      </w:r>
      <w:r w:rsidR="00860876" w:rsidRPr="006B7CAB">
        <w:rPr>
          <w:rStyle w:val="markedcontent"/>
          <w:sz w:val="24"/>
          <w:szCs w:val="24"/>
        </w:rPr>
        <w:t>3</w:t>
      </w:r>
      <w:r w:rsidR="0021638E" w:rsidRPr="006B7CAB">
        <w:rPr>
          <w:rStyle w:val="markedcontent"/>
          <w:sz w:val="24"/>
          <w:szCs w:val="24"/>
        </w:rPr>
        <w:t xml:space="preserve"> F.4th </w:t>
      </w:r>
      <w:r w:rsidR="00860876" w:rsidRPr="006B7CAB">
        <w:rPr>
          <w:rStyle w:val="markedcontent"/>
          <w:sz w:val="24"/>
          <w:szCs w:val="24"/>
        </w:rPr>
        <w:t>708</w:t>
      </w:r>
      <w:r w:rsidR="0021638E" w:rsidRPr="006B7CAB">
        <w:rPr>
          <w:rStyle w:val="markedcontent"/>
          <w:sz w:val="24"/>
          <w:szCs w:val="24"/>
        </w:rPr>
        <w:t xml:space="preserve"> (July 8, 2021).</w:t>
      </w:r>
      <w:r w:rsidR="0021638E">
        <w:rPr>
          <w:rStyle w:val="markedcontent"/>
          <w:sz w:val="24"/>
          <w:szCs w:val="24"/>
        </w:rPr>
        <w:t xml:space="preserve"> </w:t>
      </w:r>
      <w:r w:rsidR="00665976">
        <w:rPr>
          <w:rStyle w:val="markedcontent"/>
          <w:sz w:val="24"/>
          <w:szCs w:val="24"/>
        </w:rPr>
        <w:t xml:space="preserve"> A longtime confidential informant</w:t>
      </w:r>
      <w:r w:rsidR="00860876">
        <w:rPr>
          <w:rStyle w:val="markedcontent"/>
          <w:sz w:val="24"/>
          <w:szCs w:val="24"/>
        </w:rPr>
        <w:t xml:space="preserve"> with a track record of reliability</w:t>
      </w:r>
      <w:r w:rsidR="00665976">
        <w:rPr>
          <w:rStyle w:val="markedcontent"/>
          <w:sz w:val="24"/>
          <w:szCs w:val="24"/>
        </w:rPr>
        <w:t xml:space="preserve"> provided a tip </w:t>
      </w:r>
      <w:r w:rsidR="00860876">
        <w:rPr>
          <w:rStyle w:val="markedcontent"/>
          <w:sz w:val="24"/>
          <w:szCs w:val="24"/>
        </w:rPr>
        <w:t xml:space="preserve">to the FBI </w:t>
      </w:r>
      <w:r w:rsidR="00665976">
        <w:rPr>
          <w:rStyle w:val="markedcontent"/>
          <w:sz w:val="24"/>
          <w:szCs w:val="24"/>
        </w:rPr>
        <w:t xml:space="preserve">that the defendant was involved in drug trafficking. Law enforcement obtained a warrant to track the defendant’s cell phone and </w:t>
      </w:r>
      <w:r w:rsidR="00860876">
        <w:rPr>
          <w:rStyle w:val="markedcontent"/>
          <w:sz w:val="24"/>
          <w:szCs w:val="24"/>
        </w:rPr>
        <w:t>located him in</w:t>
      </w:r>
      <w:r w:rsidR="00665976">
        <w:rPr>
          <w:rStyle w:val="markedcontent"/>
          <w:sz w:val="24"/>
          <w:szCs w:val="24"/>
        </w:rPr>
        <w:t xml:space="preserve"> Baltimore, Maryland. </w:t>
      </w:r>
      <w:r w:rsidR="00860876">
        <w:rPr>
          <w:rStyle w:val="markedcontent"/>
          <w:sz w:val="24"/>
          <w:szCs w:val="24"/>
        </w:rPr>
        <w:t xml:space="preserve">The informant provided additional information that the defendant would be moving heroin on a specific day and meeting the informant. </w:t>
      </w:r>
      <w:r w:rsidR="00CA5CE1">
        <w:rPr>
          <w:rStyle w:val="markedcontent"/>
          <w:sz w:val="24"/>
          <w:szCs w:val="24"/>
        </w:rPr>
        <w:t>On the day predicted by the informant</w:t>
      </w:r>
      <w:r w:rsidR="00860876">
        <w:rPr>
          <w:rStyle w:val="markedcontent"/>
          <w:sz w:val="24"/>
          <w:szCs w:val="24"/>
        </w:rPr>
        <w:t xml:space="preserve">, </w:t>
      </w:r>
      <w:r w:rsidR="00F45928">
        <w:rPr>
          <w:rStyle w:val="markedcontent"/>
          <w:sz w:val="24"/>
          <w:szCs w:val="24"/>
        </w:rPr>
        <w:t xml:space="preserve">police watched </w:t>
      </w:r>
      <w:r w:rsidR="00860876">
        <w:rPr>
          <w:rStyle w:val="markedcontent"/>
          <w:sz w:val="24"/>
          <w:szCs w:val="24"/>
        </w:rPr>
        <w:t xml:space="preserve">as the defendant entered the informant’s car with a shoebox. </w:t>
      </w:r>
      <w:r w:rsidR="00064696">
        <w:rPr>
          <w:rStyle w:val="markedcontent"/>
          <w:sz w:val="24"/>
          <w:szCs w:val="24"/>
        </w:rPr>
        <w:t xml:space="preserve">The car was </w:t>
      </w:r>
      <w:r w:rsidR="00CA5CE1">
        <w:rPr>
          <w:rStyle w:val="markedcontent"/>
          <w:sz w:val="24"/>
          <w:szCs w:val="24"/>
        </w:rPr>
        <w:t>stopped</w:t>
      </w:r>
      <w:r w:rsidR="00F45928">
        <w:rPr>
          <w:rStyle w:val="markedcontent"/>
          <w:sz w:val="24"/>
          <w:szCs w:val="24"/>
        </w:rPr>
        <w:t>,</w:t>
      </w:r>
      <w:r w:rsidR="00CA5CE1">
        <w:rPr>
          <w:rStyle w:val="markedcontent"/>
          <w:sz w:val="24"/>
          <w:szCs w:val="24"/>
        </w:rPr>
        <w:t xml:space="preserve"> and the shoebox searched, revealing</w:t>
      </w:r>
      <w:r w:rsidR="00064696">
        <w:rPr>
          <w:rStyle w:val="markedcontent"/>
          <w:sz w:val="24"/>
          <w:szCs w:val="24"/>
        </w:rPr>
        <w:t xml:space="preserve"> fentanyl and heroin. The defendant was ultimately convicted at trial and sentenced to 121 months. He appealed, arguing in part that the trial court erred in denying his motion to suppress the heroin. </w:t>
      </w:r>
    </w:p>
    <w:p w14:paraId="016FDBBE" w14:textId="48DD31FD" w:rsidR="00064696" w:rsidRDefault="00064696" w:rsidP="00DC2567">
      <w:pPr>
        <w:tabs>
          <w:tab w:val="center" w:pos="4680"/>
        </w:tabs>
        <w:rPr>
          <w:rStyle w:val="markedcontent"/>
          <w:sz w:val="24"/>
          <w:szCs w:val="24"/>
        </w:rPr>
      </w:pPr>
      <w:r>
        <w:rPr>
          <w:rStyle w:val="markedcontent"/>
          <w:sz w:val="24"/>
          <w:szCs w:val="24"/>
        </w:rPr>
        <w:t xml:space="preserve">The trial court found </w:t>
      </w:r>
      <w:r w:rsidR="009A7EE9">
        <w:rPr>
          <w:rStyle w:val="markedcontent"/>
          <w:sz w:val="24"/>
          <w:szCs w:val="24"/>
        </w:rPr>
        <w:t xml:space="preserve">the information from the reliable </w:t>
      </w:r>
      <w:r w:rsidR="005C430D">
        <w:rPr>
          <w:rStyle w:val="markedcontent"/>
          <w:sz w:val="24"/>
          <w:szCs w:val="24"/>
        </w:rPr>
        <w:t xml:space="preserve">and known </w:t>
      </w:r>
      <w:r w:rsidR="009A7EE9">
        <w:rPr>
          <w:rStyle w:val="markedcontent"/>
          <w:sz w:val="24"/>
          <w:szCs w:val="24"/>
        </w:rPr>
        <w:t xml:space="preserve">informant, corroborated by police investigation, provided probable cause to search the car for evidence of drug trafficking under the automobile exception. The Fourth Circuit agreed. Even an anonymous tipster may be sufficiently corroborated by police to provide probable cause. Here, the </w:t>
      </w:r>
      <w:r w:rsidR="005C430D">
        <w:rPr>
          <w:rStyle w:val="markedcontent"/>
          <w:sz w:val="24"/>
          <w:szCs w:val="24"/>
        </w:rPr>
        <w:t xml:space="preserve">proven </w:t>
      </w:r>
      <w:r w:rsidR="009A7EE9">
        <w:rPr>
          <w:rStyle w:val="markedcontent"/>
          <w:sz w:val="24"/>
          <w:szCs w:val="24"/>
        </w:rPr>
        <w:t>informant had “enhanced” reliability, much of his information to police was independently corroborated by them</w:t>
      </w:r>
      <w:r w:rsidR="00295526">
        <w:rPr>
          <w:rStyle w:val="markedcontent"/>
          <w:sz w:val="24"/>
          <w:szCs w:val="24"/>
        </w:rPr>
        <w:t xml:space="preserve"> (including that the defendant would have heroin on the day of his arrest)</w:t>
      </w:r>
      <w:r w:rsidR="009A7EE9">
        <w:rPr>
          <w:rStyle w:val="markedcontent"/>
          <w:sz w:val="24"/>
          <w:szCs w:val="24"/>
        </w:rPr>
        <w:t xml:space="preserve">, and the informant met with police face to face (thereby subjecting himself to penalties for false information). Under the totality of circumstances, probable cause existed to search the car for drugs, and the motion to suppress was properly denied. </w:t>
      </w:r>
    </w:p>
    <w:p w14:paraId="750ECD2A" w14:textId="5F0D1EA3" w:rsidR="009A7EE9" w:rsidRDefault="009A7EE9" w:rsidP="00DC2567">
      <w:pPr>
        <w:tabs>
          <w:tab w:val="center" w:pos="4680"/>
        </w:tabs>
        <w:rPr>
          <w:rStyle w:val="markedcontent"/>
          <w:sz w:val="24"/>
          <w:szCs w:val="24"/>
        </w:rPr>
      </w:pPr>
      <w:r>
        <w:rPr>
          <w:rStyle w:val="markedcontent"/>
          <w:sz w:val="24"/>
          <w:szCs w:val="24"/>
        </w:rPr>
        <w:t>Other challenges were rejected</w:t>
      </w:r>
      <w:r w:rsidR="00A41B22">
        <w:rPr>
          <w:rStyle w:val="markedcontent"/>
          <w:sz w:val="24"/>
          <w:szCs w:val="24"/>
        </w:rPr>
        <w:t>,</w:t>
      </w:r>
      <w:r>
        <w:rPr>
          <w:rStyle w:val="markedcontent"/>
          <w:sz w:val="24"/>
          <w:szCs w:val="24"/>
        </w:rPr>
        <w:t xml:space="preserve"> and the district court </w:t>
      </w:r>
      <w:r w:rsidR="00A41B22">
        <w:rPr>
          <w:rStyle w:val="markedcontent"/>
          <w:sz w:val="24"/>
          <w:szCs w:val="24"/>
        </w:rPr>
        <w:t xml:space="preserve">was </w:t>
      </w:r>
      <w:r w:rsidR="00295526">
        <w:rPr>
          <w:rStyle w:val="markedcontent"/>
          <w:sz w:val="24"/>
          <w:szCs w:val="24"/>
        </w:rPr>
        <w:t xml:space="preserve">unanimously </w:t>
      </w:r>
      <w:r>
        <w:rPr>
          <w:rStyle w:val="markedcontent"/>
          <w:sz w:val="24"/>
          <w:szCs w:val="24"/>
        </w:rPr>
        <w:t xml:space="preserve">affirmed in full. </w:t>
      </w:r>
    </w:p>
    <w:p w14:paraId="2697F658" w14:textId="77777777" w:rsidR="00006C45" w:rsidRDefault="00006C45" w:rsidP="00DC2567">
      <w:pPr>
        <w:tabs>
          <w:tab w:val="center" w:pos="4680"/>
        </w:tabs>
        <w:rPr>
          <w:b/>
          <w:bCs/>
          <w:sz w:val="24"/>
          <w:szCs w:val="24"/>
        </w:rPr>
      </w:pPr>
    </w:p>
    <w:p w14:paraId="57B76F73" w14:textId="77777777" w:rsidR="00006C45" w:rsidRDefault="00006C45" w:rsidP="00DC2567">
      <w:pPr>
        <w:tabs>
          <w:tab w:val="center" w:pos="4680"/>
        </w:tabs>
        <w:rPr>
          <w:b/>
          <w:bCs/>
          <w:sz w:val="24"/>
          <w:szCs w:val="24"/>
        </w:rPr>
      </w:pPr>
    </w:p>
    <w:p w14:paraId="702F158E" w14:textId="08FE0A09" w:rsidR="001B1ABB" w:rsidRDefault="003A3CB5" w:rsidP="00131C55">
      <w:pPr>
        <w:pStyle w:val="NoSpacing"/>
        <w:rPr>
          <w:b/>
          <w:bCs/>
          <w:sz w:val="24"/>
          <w:szCs w:val="24"/>
        </w:rPr>
      </w:pPr>
      <w:r>
        <w:rPr>
          <w:b/>
          <w:bCs/>
          <w:sz w:val="24"/>
          <w:szCs w:val="24"/>
        </w:rPr>
        <w:lastRenderedPageBreak/>
        <w:t>Divided court finds n</w:t>
      </w:r>
      <w:r w:rsidR="0043210B" w:rsidRPr="00131C55">
        <w:rPr>
          <w:b/>
          <w:bCs/>
          <w:sz w:val="24"/>
          <w:szCs w:val="24"/>
        </w:rPr>
        <w:t>o reasonable expectation of privacy in mail addressed to another person</w:t>
      </w:r>
      <w:r w:rsidR="00326CCE" w:rsidRPr="00131C55">
        <w:rPr>
          <w:b/>
          <w:bCs/>
          <w:sz w:val="24"/>
          <w:szCs w:val="24"/>
        </w:rPr>
        <w:t xml:space="preserve"> absent some other showing of interest in the property</w:t>
      </w:r>
    </w:p>
    <w:p w14:paraId="5DE0DE55" w14:textId="77777777" w:rsidR="00131C55" w:rsidRPr="00131C55" w:rsidRDefault="00131C55" w:rsidP="00131C55">
      <w:pPr>
        <w:pStyle w:val="NoSpacing"/>
        <w:rPr>
          <w:b/>
          <w:bCs/>
          <w:sz w:val="24"/>
          <w:szCs w:val="24"/>
        </w:rPr>
      </w:pPr>
    </w:p>
    <w:p w14:paraId="12A93ED7" w14:textId="5CC243F0" w:rsidR="0021638E" w:rsidRDefault="00424AC3" w:rsidP="00DC2567">
      <w:pPr>
        <w:tabs>
          <w:tab w:val="center" w:pos="4680"/>
        </w:tabs>
        <w:rPr>
          <w:rStyle w:val="markedcontent"/>
          <w:sz w:val="24"/>
          <w:szCs w:val="24"/>
        </w:rPr>
      </w:pPr>
      <w:hyperlink r:id="rId11" w:history="1">
        <w:r w:rsidR="0021638E" w:rsidRPr="0021638E">
          <w:rPr>
            <w:rStyle w:val="Hyperlink"/>
            <w:sz w:val="24"/>
            <w:szCs w:val="24"/>
          </w:rPr>
          <w:t>U.S. v. Rose</w:t>
        </w:r>
      </w:hyperlink>
      <w:r w:rsidR="0021638E">
        <w:rPr>
          <w:rStyle w:val="markedcontent"/>
          <w:sz w:val="24"/>
          <w:szCs w:val="24"/>
        </w:rPr>
        <w:t xml:space="preserve">, </w:t>
      </w:r>
      <w:r w:rsidR="00295526">
        <w:rPr>
          <w:rStyle w:val="markedcontent"/>
          <w:sz w:val="24"/>
          <w:szCs w:val="24"/>
        </w:rPr>
        <w:t>3</w:t>
      </w:r>
      <w:r w:rsidR="0021638E">
        <w:rPr>
          <w:rStyle w:val="markedcontent"/>
          <w:sz w:val="24"/>
          <w:szCs w:val="24"/>
        </w:rPr>
        <w:t xml:space="preserve"> </w:t>
      </w:r>
      <w:r w:rsidR="00295526">
        <w:rPr>
          <w:rStyle w:val="markedcontent"/>
          <w:sz w:val="24"/>
          <w:szCs w:val="24"/>
        </w:rPr>
        <w:t>F.</w:t>
      </w:r>
      <w:r w:rsidR="0021638E">
        <w:rPr>
          <w:rStyle w:val="markedcontent"/>
          <w:sz w:val="24"/>
          <w:szCs w:val="24"/>
        </w:rPr>
        <w:t xml:space="preserve">4th </w:t>
      </w:r>
      <w:r w:rsidR="00295526">
        <w:rPr>
          <w:rStyle w:val="markedcontent"/>
          <w:sz w:val="24"/>
          <w:szCs w:val="24"/>
        </w:rPr>
        <w:t>722</w:t>
      </w:r>
      <w:r w:rsidR="0021638E">
        <w:rPr>
          <w:rStyle w:val="markedcontent"/>
          <w:sz w:val="24"/>
          <w:szCs w:val="24"/>
        </w:rPr>
        <w:t xml:space="preserve"> (July 9, 2021). </w:t>
      </w:r>
      <w:r w:rsidR="009A7EE9">
        <w:rPr>
          <w:rStyle w:val="markedcontent"/>
          <w:sz w:val="24"/>
          <w:szCs w:val="24"/>
        </w:rPr>
        <w:t xml:space="preserve">In this Eastern District of North Carolina case, the defendant </w:t>
      </w:r>
      <w:r w:rsidR="006D00F4">
        <w:rPr>
          <w:rStyle w:val="markedcontent"/>
          <w:sz w:val="24"/>
          <w:szCs w:val="24"/>
        </w:rPr>
        <w:t xml:space="preserve">recruited a friend to receive packages of drugs at the friend’s house. The packages were addressed to the </w:t>
      </w:r>
      <w:r w:rsidR="00DB6E93">
        <w:rPr>
          <w:rStyle w:val="markedcontent"/>
          <w:sz w:val="24"/>
          <w:szCs w:val="24"/>
        </w:rPr>
        <w:t>friend</w:t>
      </w:r>
      <w:r w:rsidR="006D00F4">
        <w:rPr>
          <w:rStyle w:val="markedcontent"/>
          <w:sz w:val="24"/>
          <w:szCs w:val="24"/>
        </w:rPr>
        <w:t xml:space="preserve">’s deceased brother. </w:t>
      </w:r>
      <w:r w:rsidR="00840B04">
        <w:rPr>
          <w:rStyle w:val="markedcontent"/>
          <w:sz w:val="24"/>
          <w:szCs w:val="24"/>
        </w:rPr>
        <w:t xml:space="preserve">When the packages would arrive, the friend would leave them on the porch and the defendant would collect them. </w:t>
      </w:r>
      <w:r w:rsidR="006D00F4">
        <w:rPr>
          <w:rStyle w:val="markedcontent"/>
          <w:sz w:val="24"/>
          <w:szCs w:val="24"/>
        </w:rPr>
        <w:t xml:space="preserve">A Drug Enforcement Agency agent noticed a suspicious package </w:t>
      </w:r>
      <w:r w:rsidR="00326CCE">
        <w:rPr>
          <w:rStyle w:val="markedcontent"/>
          <w:sz w:val="24"/>
          <w:szCs w:val="24"/>
        </w:rPr>
        <w:t xml:space="preserve">addressed to the friend’s home in the dead brother’s name </w:t>
      </w:r>
      <w:r w:rsidR="006D00F4">
        <w:rPr>
          <w:rStyle w:val="markedcontent"/>
          <w:sz w:val="24"/>
          <w:szCs w:val="24"/>
        </w:rPr>
        <w:t xml:space="preserve">at </w:t>
      </w:r>
      <w:r w:rsidR="00840B04">
        <w:rPr>
          <w:rStyle w:val="markedcontent"/>
          <w:sz w:val="24"/>
          <w:szCs w:val="24"/>
        </w:rPr>
        <w:t>a</w:t>
      </w:r>
      <w:r w:rsidR="006D00F4">
        <w:rPr>
          <w:rStyle w:val="markedcontent"/>
          <w:sz w:val="24"/>
          <w:szCs w:val="24"/>
        </w:rPr>
        <w:t xml:space="preserve"> FedEx facility</w:t>
      </w:r>
      <w:r w:rsidR="00326CCE">
        <w:rPr>
          <w:rStyle w:val="markedcontent"/>
          <w:sz w:val="24"/>
          <w:szCs w:val="24"/>
        </w:rPr>
        <w:t>. The agent</w:t>
      </w:r>
      <w:r w:rsidR="006D00F4">
        <w:rPr>
          <w:rStyle w:val="markedcontent"/>
          <w:sz w:val="24"/>
          <w:szCs w:val="24"/>
        </w:rPr>
        <w:t xml:space="preserve"> </w:t>
      </w:r>
      <w:r w:rsidR="009A7142">
        <w:rPr>
          <w:rStyle w:val="markedcontent"/>
          <w:sz w:val="24"/>
          <w:szCs w:val="24"/>
        </w:rPr>
        <w:t>confirm</w:t>
      </w:r>
      <w:r w:rsidR="00326CCE">
        <w:rPr>
          <w:rStyle w:val="markedcontent"/>
          <w:sz w:val="24"/>
          <w:szCs w:val="24"/>
        </w:rPr>
        <w:t>ed</w:t>
      </w:r>
      <w:r w:rsidR="009A7142">
        <w:rPr>
          <w:rStyle w:val="markedcontent"/>
          <w:sz w:val="24"/>
          <w:szCs w:val="24"/>
        </w:rPr>
        <w:t xml:space="preserve"> that </w:t>
      </w:r>
      <w:r w:rsidR="006D00F4">
        <w:rPr>
          <w:rStyle w:val="markedcontent"/>
          <w:sz w:val="24"/>
          <w:szCs w:val="24"/>
        </w:rPr>
        <w:t xml:space="preserve">the addressee did not match anyone connected with the address. A FedEx </w:t>
      </w:r>
      <w:r w:rsidR="00326CCE">
        <w:rPr>
          <w:rStyle w:val="markedcontent"/>
          <w:sz w:val="24"/>
          <w:szCs w:val="24"/>
        </w:rPr>
        <w:t>manager</w:t>
      </w:r>
      <w:r w:rsidR="006D00F4">
        <w:rPr>
          <w:rStyle w:val="markedcontent"/>
          <w:sz w:val="24"/>
          <w:szCs w:val="24"/>
        </w:rPr>
        <w:t xml:space="preserve"> opened the package, finding </w:t>
      </w:r>
      <w:r w:rsidR="00131C55">
        <w:rPr>
          <w:rStyle w:val="markedcontent"/>
          <w:sz w:val="24"/>
          <w:szCs w:val="24"/>
        </w:rPr>
        <w:t xml:space="preserve">two kilograms of </w:t>
      </w:r>
      <w:r w:rsidR="006D00F4">
        <w:rPr>
          <w:rStyle w:val="markedcontent"/>
          <w:sz w:val="24"/>
          <w:szCs w:val="24"/>
        </w:rPr>
        <w:t>cocaine. Agents soon noticed an additional, similar package</w:t>
      </w:r>
      <w:r w:rsidR="009A7142">
        <w:rPr>
          <w:rStyle w:val="markedcontent"/>
          <w:sz w:val="24"/>
          <w:szCs w:val="24"/>
        </w:rPr>
        <w:t>. F</w:t>
      </w:r>
      <w:r w:rsidR="006D00F4">
        <w:rPr>
          <w:rStyle w:val="markedcontent"/>
          <w:sz w:val="24"/>
          <w:szCs w:val="24"/>
        </w:rPr>
        <w:t>ollowing a canine alert,</w:t>
      </w:r>
      <w:r w:rsidR="009A7142">
        <w:rPr>
          <w:rStyle w:val="markedcontent"/>
          <w:sz w:val="24"/>
          <w:szCs w:val="24"/>
        </w:rPr>
        <w:t xml:space="preserve"> </w:t>
      </w:r>
      <w:r w:rsidR="00840B04">
        <w:rPr>
          <w:rStyle w:val="markedcontent"/>
          <w:sz w:val="24"/>
          <w:szCs w:val="24"/>
        </w:rPr>
        <w:t>a search warrant for the second package was obtained. It too was searched, revealing another two kilos of cocaine. Police</w:t>
      </w:r>
      <w:r w:rsidR="006D00F4">
        <w:rPr>
          <w:rStyle w:val="markedcontent"/>
          <w:sz w:val="24"/>
          <w:szCs w:val="24"/>
        </w:rPr>
        <w:t xml:space="preserve"> arranged a controlled delivery of the packages, and the defendant eventually collected them from the friend’s porch. When law enforcement tried to stop the defendant as he drove away, he fled and ultimately crashed into a parked police car. He sought to suppress the</w:t>
      </w:r>
      <w:r w:rsidR="00840B04">
        <w:rPr>
          <w:rStyle w:val="markedcontent"/>
          <w:sz w:val="24"/>
          <w:szCs w:val="24"/>
        </w:rPr>
        <w:t xml:space="preserve"> cocaine</w:t>
      </w:r>
      <w:r w:rsidR="006D00F4">
        <w:rPr>
          <w:rStyle w:val="markedcontent"/>
          <w:sz w:val="24"/>
          <w:szCs w:val="24"/>
        </w:rPr>
        <w:t xml:space="preserve">. The trial court denied the motion, finding the defendant had no reasonable expectation of privacy in the packages. </w:t>
      </w:r>
      <w:r w:rsidR="00D63691">
        <w:rPr>
          <w:rStyle w:val="markedcontent"/>
          <w:sz w:val="24"/>
          <w:szCs w:val="24"/>
        </w:rPr>
        <w:t>A majority of the</w:t>
      </w:r>
      <w:r w:rsidR="006D00F4">
        <w:rPr>
          <w:rStyle w:val="markedcontent"/>
          <w:sz w:val="24"/>
          <w:szCs w:val="24"/>
        </w:rPr>
        <w:t xml:space="preserve"> Fourth Circuit agreed.</w:t>
      </w:r>
    </w:p>
    <w:p w14:paraId="6B3ED4B4" w14:textId="611860BD" w:rsidR="00D63691" w:rsidRDefault="00372DFC" w:rsidP="00DC2567">
      <w:pPr>
        <w:tabs>
          <w:tab w:val="center" w:pos="4680"/>
        </w:tabs>
        <w:rPr>
          <w:rStyle w:val="markedcontent"/>
          <w:sz w:val="24"/>
          <w:szCs w:val="24"/>
        </w:rPr>
      </w:pPr>
      <w:r>
        <w:rPr>
          <w:rStyle w:val="markedcontent"/>
          <w:sz w:val="24"/>
          <w:szCs w:val="24"/>
        </w:rPr>
        <w:t xml:space="preserve">To establish a reasonable expectation of privacy in property, the defendant must show some interest in the property at the time of the search. Normally, mail is protected by a reasonable expectation of privacy. Where the defendant is not the named recipient of the mail, </w:t>
      </w:r>
      <w:r w:rsidR="00991EB0">
        <w:rPr>
          <w:rStyle w:val="markedcontent"/>
          <w:sz w:val="24"/>
          <w:szCs w:val="24"/>
        </w:rPr>
        <w:t>though, the</w:t>
      </w:r>
      <w:r>
        <w:rPr>
          <w:rStyle w:val="markedcontent"/>
          <w:sz w:val="24"/>
          <w:szCs w:val="24"/>
        </w:rPr>
        <w:t xml:space="preserve"> defendant </w:t>
      </w:r>
      <w:r w:rsidR="00E07C8B">
        <w:rPr>
          <w:rStyle w:val="markedcontent"/>
          <w:sz w:val="24"/>
          <w:szCs w:val="24"/>
        </w:rPr>
        <w:t xml:space="preserve">will typically </w:t>
      </w:r>
      <w:r>
        <w:rPr>
          <w:rStyle w:val="markedcontent"/>
          <w:sz w:val="24"/>
          <w:szCs w:val="24"/>
        </w:rPr>
        <w:t xml:space="preserve">lack a reasonable expectation of privacy in the property. A defendant </w:t>
      </w:r>
      <w:r w:rsidR="00991EB0">
        <w:rPr>
          <w:rStyle w:val="markedcontent"/>
          <w:sz w:val="24"/>
          <w:szCs w:val="24"/>
        </w:rPr>
        <w:t xml:space="preserve">may show some other interest in or connection to the property despite not being the named recipient of a package, </w:t>
      </w:r>
      <w:r w:rsidR="00D63691">
        <w:rPr>
          <w:rStyle w:val="markedcontent"/>
          <w:sz w:val="24"/>
          <w:szCs w:val="24"/>
        </w:rPr>
        <w:t xml:space="preserve">such as when the named recipient of the item is an “established alias” of the defendant, but there was no such showing here. </w:t>
      </w:r>
      <w:r w:rsidR="00D63691" w:rsidRPr="00D63691">
        <w:rPr>
          <w:rStyle w:val="markedcontent"/>
          <w:i/>
          <w:iCs/>
          <w:sz w:val="24"/>
          <w:szCs w:val="24"/>
        </w:rPr>
        <w:t>Rose</w:t>
      </w:r>
      <w:r w:rsidR="00D63691">
        <w:rPr>
          <w:rStyle w:val="markedcontent"/>
          <w:sz w:val="24"/>
          <w:szCs w:val="24"/>
        </w:rPr>
        <w:t xml:space="preserve"> Slip op. at 10 (citation omitted). </w:t>
      </w:r>
      <w:r w:rsidR="00311E31">
        <w:rPr>
          <w:rStyle w:val="markedcontent"/>
          <w:sz w:val="24"/>
          <w:szCs w:val="24"/>
        </w:rPr>
        <w:t xml:space="preserve">At the time </w:t>
      </w:r>
      <w:r w:rsidR="00991EB0">
        <w:rPr>
          <w:rStyle w:val="markedcontent"/>
          <w:sz w:val="24"/>
          <w:szCs w:val="24"/>
        </w:rPr>
        <w:t>the packages were searched, the defendant had no apparent interest in the property</w:t>
      </w:r>
      <w:r w:rsidR="00311E31">
        <w:rPr>
          <w:rStyle w:val="markedcontent"/>
          <w:sz w:val="24"/>
          <w:szCs w:val="24"/>
        </w:rPr>
        <w:t xml:space="preserve"> and could not have exercised control over it, had he attempted to do so</w:t>
      </w:r>
      <w:r w:rsidR="00991EB0">
        <w:rPr>
          <w:rStyle w:val="markedcontent"/>
          <w:sz w:val="24"/>
          <w:szCs w:val="24"/>
        </w:rPr>
        <w:t xml:space="preserve">. </w:t>
      </w:r>
      <w:r w:rsidR="00D63691">
        <w:rPr>
          <w:rStyle w:val="markedcontent"/>
          <w:sz w:val="24"/>
          <w:szCs w:val="24"/>
        </w:rPr>
        <w:t xml:space="preserve">In the words of the court: </w:t>
      </w:r>
    </w:p>
    <w:p w14:paraId="2946CFAD" w14:textId="77777777" w:rsidR="00D63691" w:rsidRDefault="00D63691" w:rsidP="00D63691">
      <w:pPr>
        <w:tabs>
          <w:tab w:val="center" w:pos="4680"/>
        </w:tabs>
        <w:ind w:left="720" w:right="540"/>
        <w:jc w:val="both"/>
        <w:rPr>
          <w:rStyle w:val="markedcontent"/>
          <w:sz w:val="24"/>
          <w:szCs w:val="20"/>
        </w:rPr>
      </w:pPr>
      <w:r w:rsidRPr="00D63691">
        <w:rPr>
          <w:rStyle w:val="markedcontent"/>
          <w:sz w:val="24"/>
          <w:szCs w:val="24"/>
        </w:rPr>
        <w:t>Rose did not have a reasonable expectation of privacy in the packages addressed to Ronald West because, at the time of the searches, there were no objective indicia that Rose owned, possessed, or exercised control over the packages.</w:t>
      </w:r>
      <w:r>
        <w:rPr>
          <w:rStyle w:val="markedcontent"/>
          <w:sz w:val="24"/>
          <w:szCs w:val="24"/>
        </w:rPr>
        <w:t xml:space="preserve"> </w:t>
      </w:r>
      <w:r>
        <w:rPr>
          <w:rStyle w:val="markedcontent"/>
          <w:i/>
          <w:iCs/>
          <w:sz w:val="24"/>
          <w:szCs w:val="20"/>
        </w:rPr>
        <w:t>Id.</w:t>
      </w:r>
      <w:r w:rsidR="00991EB0" w:rsidRPr="00E07C8B">
        <w:rPr>
          <w:rStyle w:val="markedcontent"/>
          <w:sz w:val="24"/>
          <w:szCs w:val="20"/>
        </w:rPr>
        <w:t xml:space="preserve"> at 13</w:t>
      </w:r>
      <w:r>
        <w:rPr>
          <w:rStyle w:val="markedcontent"/>
          <w:sz w:val="24"/>
          <w:szCs w:val="20"/>
        </w:rPr>
        <w:t xml:space="preserve"> (citation omitted)</w:t>
      </w:r>
      <w:r w:rsidR="00991EB0" w:rsidRPr="00E07C8B">
        <w:rPr>
          <w:rStyle w:val="markedcontent"/>
          <w:sz w:val="24"/>
          <w:szCs w:val="20"/>
        </w:rPr>
        <w:t>.</w:t>
      </w:r>
    </w:p>
    <w:p w14:paraId="37AA1C90" w14:textId="4497D65F" w:rsidR="0061299B" w:rsidRPr="00991EB0" w:rsidRDefault="0045303A" w:rsidP="00DC2567">
      <w:pPr>
        <w:tabs>
          <w:tab w:val="center" w:pos="4680"/>
        </w:tabs>
        <w:rPr>
          <w:rStyle w:val="markedcontent"/>
          <w:szCs w:val="20"/>
        </w:rPr>
      </w:pPr>
      <w:r>
        <w:rPr>
          <w:rStyle w:val="markedcontent"/>
          <w:sz w:val="24"/>
          <w:szCs w:val="20"/>
        </w:rPr>
        <w:t>That the defendant intended to pick up the packages, or had picked up packages this way before, was not enough to demonstrate a</w:t>
      </w:r>
      <w:r w:rsidR="00395630">
        <w:rPr>
          <w:rStyle w:val="markedcontent"/>
          <w:sz w:val="24"/>
          <w:szCs w:val="20"/>
        </w:rPr>
        <w:t xml:space="preserve">n </w:t>
      </w:r>
      <w:r w:rsidR="002E262C">
        <w:rPr>
          <w:rStyle w:val="markedcontent"/>
          <w:sz w:val="24"/>
          <w:szCs w:val="20"/>
        </w:rPr>
        <w:t xml:space="preserve">objectively reasonable </w:t>
      </w:r>
      <w:r>
        <w:rPr>
          <w:rStyle w:val="markedcontent"/>
          <w:sz w:val="24"/>
          <w:szCs w:val="20"/>
        </w:rPr>
        <w:t xml:space="preserve">expectation of privacy in the property. </w:t>
      </w:r>
      <w:r w:rsidR="00D63691">
        <w:rPr>
          <w:rStyle w:val="markedcontent"/>
          <w:sz w:val="24"/>
          <w:szCs w:val="20"/>
        </w:rPr>
        <w:t xml:space="preserve">The court distinguished this situation from </w:t>
      </w:r>
      <w:r w:rsidR="00D63691" w:rsidRPr="00D63691">
        <w:rPr>
          <w:rStyle w:val="markedcontent"/>
          <w:i/>
          <w:iCs/>
          <w:sz w:val="24"/>
          <w:szCs w:val="20"/>
        </w:rPr>
        <w:t>Byrd v. U.S</w:t>
      </w:r>
      <w:r w:rsidR="00D63691">
        <w:rPr>
          <w:rStyle w:val="markedcontent"/>
          <w:sz w:val="24"/>
          <w:szCs w:val="20"/>
        </w:rPr>
        <w:t xml:space="preserve">., 138 S. Ct. 1518 (2018). There, the defendant was found to have an expectation of privacy in a rental car despite not being authorized to drive the car under the rental contract, based on his possession and control of the vehicle. Unlike the defendant in </w:t>
      </w:r>
      <w:r w:rsidR="00D63691" w:rsidRPr="00DB6E93">
        <w:rPr>
          <w:rStyle w:val="markedcontent"/>
          <w:i/>
          <w:iCs/>
          <w:sz w:val="24"/>
          <w:szCs w:val="20"/>
        </w:rPr>
        <w:t>Bryd</w:t>
      </w:r>
      <w:r w:rsidR="00D63691">
        <w:rPr>
          <w:rStyle w:val="markedcontent"/>
          <w:sz w:val="24"/>
          <w:szCs w:val="20"/>
        </w:rPr>
        <w:t xml:space="preserve">, the defendant here did not have possession or control of the packages at the time of the search, and no other evidence </w:t>
      </w:r>
      <w:r w:rsidR="00D63691">
        <w:rPr>
          <w:rStyle w:val="markedcontent"/>
          <w:sz w:val="24"/>
          <w:szCs w:val="20"/>
        </w:rPr>
        <w:lastRenderedPageBreak/>
        <w:t xml:space="preserve">supported an interest in the property. Thus, the district court did not err in denying the motion to suppress.  </w:t>
      </w:r>
    </w:p>
    <w:p w14:paraId="7FD8B350" w14:textId="290FDF33" w:rsidR="006D00F4" w:rsidRDefault="00991EB0" w:rsidP="00DC2567">
      <w:pPr>
        <w:tabs>
          <w:tab w:val="center" w:pos="4680"/>
        </w:tabs>
        <w:rPr>
          <w:rStyle w:val="markedcontent"/>
          <w:sz w:val="24"/>
          <w:szCs w:val="24"/>
        </w:rPr>
      </w:pPr>
      <w:r>
        <w:rPr>
          <w:rStyle w:val="markedcontent"/>
          <w:sz w:val="24"/>
          <w:szCs w:val="24"/>
        </w:rPr>
        <w:t xml:space="preserve">Challenges to </w:t>
      </w:r>
      <w:r w:rsidR="009A7142">
        <w:rPr>
          <w:rStyle w:val="markedcontent"/>
          <w:sz w:val="24"/>
          <w:szCs w:val="24"/>
        </w:rPr>
        <w:t>the</w:t>
      </w:r>
      <w:r>
        <w:rPr>
          <w:rStyle w:val="markedcontent"/>
          <w:sz w:val="24"/>
          <w:szCs w:val="24"/>
        </w:rPr>
        <w:t xml:space="preserve"> </w:t>
      </w:r>
      <w:r w:rsidR="00E07C8B">
        <w:rPr>
          <w:rStyle w:val="markedcontent"/>
          <w:sz w:val="24"/>
          <w:szCs w:val="24"/>
        </w:rPr>
        <w:t xml:space="preserve">420-month </w:t>
      </w:r>
      <w:r>
        <w:rPr>
          <w:rStyle w:val="markedcontent"/>
          <w:sz w:val="24"/>
          <w:szCs w:val="24"/>
        </w:rPr>
        <w:t xml:space="preserve">sentence were also rejected and the district court </w:t>
      </w:r>
      <w:r w:rsidR="00D63691">
        <w:rPr>
          <w:rStyle w:val="markedcontent"/>
          <w:sz w:val="24"/>
          <w:szCs w:val="24"/>
        </w:rPr>
        <w:t xml:space="preserve">was </w:t>
      </w:r>
      <w:r>
        <w:rPr>
          <w:rStyle w:val="markedcontent"/>
          <w:sz w:val="24"/>
          <w:szCs w:val="24"/>
        </w:rPr>
        <w:t>affirmed</w:t>
      </w:r>
      <w:r w:rsidR="00D63691">
        <w:rPr>
          <w:rStyle w:val="markedcontent"/>
          <w:sz w:val="24"/>
          <w:szCs w:val="24"/>
        </w:rPr>
        <w:t xml:space="preserve"> in all respects</w:t>
      </w:r>
      <w:r>
        <w:rPr>
          <w:rStyle w:val="markedcontent"/>
          <w:sz w:val="24"/>
          <w:szCs w:val="24"/>
        </w:rPr>
        <w:t xml:space="preserve">. </w:t>
      </w:r>
    </w:p>
    <w:p w14:paraId="5F69B88A" w14:textId="2BCC777F" w:rsidR="00B71CA1" w:rsidRPr="00972246" w:rsidRDefault="00D63691" w:rsidP="00DC2567">
      <w:pPr>
        <w:tabs>
          <w:tab w:val="center" w:pos="4680"/>
        </w:tabs>
        <w:rPr>
          <w:i/>
          <w:iCs/>
          <w:sz w:val="24"/>
          <w:szCs w:val="24"/>
        </w:rPr>
      </w:pPr>
      <w:r w:rsidRPr="00DB6E93">
        <w:rPr>
          <w:sz w:val="24"/>
          <w:szCs w:val="24"/>
        </w:rPr>
        <w:t>Judge Gregory dissented</w:t>
      </w:r>
      <w:r w:rsidR="00DB6E93">
        <w:rPr>
          <w:sz w:val="24"/>
          <w:szCs w:val="24"/>
        </w:rPr>
        <w:t>. Ac</w:t>
      </w:r>
      <w:r w:rsidR="00131C55">
        <w:rPr>
          <w:sz w:val="24"/>
          <w:szCs w:val="24"/>
        </w:rPr>
        <w:t>cording to him</w:t>
      </w:r>
      <w:r w:rsidR="00DB6E93">
        <w:rPr>
          <w:sz w:val="24"/>
          <w:szCs w:val="24"/>
        </w:rPr>
        <w:t>, the defendant had “at least informal ownership, control, and possession” of the packages</w:t>
      </w:r>
      <w:r w:rsidR="009A7142">
        <w:rPr>
          <w:sz w:val="24"/>
          <w:szCs w:val="24"/>
        </w:rPr>
        <w:t>, which was sufficient under relevant precedent to show a reasonable expectation of privacy.</w:t>
      </w:r>
      <w:r w:rsidR="00972246">
        <w:rPr>
          <w:sz w:val="24"/>
          <w:szCs w:val="24"/>
        </w:rPr>
        <w:t xml:space="preserve"> </w:t>
      </w:r>
      <w:r w:rsidR="00DC406E">
        <w:rPr>
          <w:sz w:val="24"/>
          <w:szCs w:val="24"/>
        </w:rPr>
        <w:t xml:space="preserve">The dissent faulted the majority for “effectively [requiring] formal property rights” to assert an expectation of privacy, as well as for misapplying precedent and “muddling the doctrine.” </w:t>
      </w:r>
      <w:r w:rsidR="00972246" w:rsidRPr="00972246">
        <w:rPr>
          <w:i/>
          <w:iCs/>
          <w:sz w:val="24"/>
          <w:szCs w:val="24"/>
        </w:rPr>
        <w:t>Rose</w:t>
      </w:r>
      <w:r w:rsidR="00972246">
        <w:rPr>
          <w:sz w:val="24"/>
          <w:szCs w:val="24"/>
        </w:rPr>
        <w:t xml:space="preserve"> Slip op. at 2</w:t>
      </w:r>
      <w:r w:rsidR="00DC406E">
        <w:rPr>
          <w:sz w:val="24"/>
          <w:szCs w:val="24"/>
        </w:rPr>
        <w:t>2, 23</w:t>
      </w:r>
      <w:r w:rsidR="00972246">
        <w:rPr>
          <w:sz w:val="24"/>
          <w:szCs w:val="24"/>
        </w:rPr>
        <w:t xml:space="preserve"> (Gregory, J., dissenting).</w:t>
      </w:r>
    </w:p>
    <w:p w14:paraId="0CC30F24" w14:textId="63CEE55A" w:rsidR="00972246" w:rsidRDefault="00BC4A3D" w:rsidP="00131C55">
      <w:pPr>
        <w:pStyle w:val="NoSpacing"/>
        <w:rPr>
          <w:b/>
          <w:bCs/>
          <w:sz w:val="24"/>
          <w:szCs w:val="24"/>
        </w:rPr>
      </w:pPr>
      <w:r w:rsidRPr="00131C55">
        <w:rPr>
          <w:b/>
          <w:bCs/>
          <w:sz w:val="24"/>
          <w:szCs w:val="24"/>
        </w:rPr>
        <w:t xml:space="preserve">Second Amendment rights vest at age 18; federal law prohibiting </w:t>
      </w:r>
      <w:r w:rsidR="00EE6DA5">
        <w:rPr>
          <w:b/>
          <w:bCs/>
          <w:sz w:val="24"/>
          <w:szCs w:val="24"/>
        </w:rPr>
        <w:t>handgun purchases</w:t>
      </w:r>
      <w:r w:rsidRPr="00131C55">
        <w:rPr>
          <w:b/>
          <w:bCs/>
          <w:sz w:val="24"/>
          <w:szCs w:val="24"/>
        </w:rPr>
        <w:t xml:space="preserve"> from licensed firearms dealers </w:t>
      </w:r>
      <w:r w:rsidR="00EE6DA5">
        <w:rPr>
          <w:b/>
          <w:bCs/>
          <w:sz w:val="24"/>
          <w:szCs w:val="24"/>
        </w:rPr>
        <w:t xml:space="preserve">by those less than 21 years old </w:t>
      </w:r>
      <w:r w:rsidRPr="00131C55">
        <w:rPr>
          <w:b/>
          <w:bCs/>
          <w:sz w:val="24"/>
          <w:szCs w:val="24"/>
        </w:rPr>
        <w:t>violates the Second Amendment</w:t>
      </w:r>
    </w:p>
    <w:p w14:paraId="37E3D555" w14:textId="77777777" w:rsidR="00131C55" w:rsidRPr="00131C55" w:rsidRDefault="00131C55" w:rsidP="00131C55">
      <w:pPr>
        <w:pStyle w:val="NoSpacing"/>
        <w:rPr>
          <w:b/>
          <w:bCs/>
          <w:sz w:val="24"/>
          <w:szCs w:val="24"/>
        </w:rPr>
      </w:pPr>
    </w:p>
    <w:p w14:paraId="07B2F7A5" w14:textId="3121460C" w:rsidR="00131C55" w:rsidRDefault="00424AC3" w:rsidP="00DC2567">
      <w:pPr>
        <w:tabs>
          <w:tab w:val="center" w:pos="4680"/>
        </w:tabs>
        <w:rPr>
          <w:rStyle w:val="markedcontent"/>
          <w:sz w:val="24"/>
          <w:szCs w:val="24"/>
        </w:rPr>
      </w:pPr>
      <w:hyperlink r:id="rId12" w:history="1">
        <w:r w:rsidR="0021638E" w:rsidRPr="0021638E">
          <w:rPr>
            <w:rStyle w:val="Hyperlink"/>
            <w:sz w:val="24"/>
            <w:szCs w:val="24"/>
          </w:rPr>
          <w:t>Hirsch</w:t>
        </w:r>
        <w:r w:rsidR="00972246">
          <w:rPr>
            <w:rStyle w:val="Hyperlink"/>
            <w:sz w:val="24"/>
            <w:szCs w:val="24"/>
          </w:rPr>
          <w:t>fel</w:t>
        </w:r>
        <w:r w:rsidR="0021638E" w:rsidRPr="0021638E">
          <w:rPr>
            <w:rStyle w:val="Hyperlink"/>
            <w:sz w:val="24"/>
            <w:szCs w:val="24"/>
          </w:rPr>
          <w:t>d v. ATF</w:t>
        </w:r>
      </w:hyperlink>
      <w:r w:rsidR="0021638E">
        <w:rPr>
          <w:rStyle w:val="markedcontent"/>
          <w:sz w:val="24"/>
          <w:szCs w:val="24"/>
        </w:rPr>
        <w:t xml:space="preserve">, ___ </w:t>
      </w:r>
      <w:r w:rsidR="00295526">
        <w:rPr>
          <w:rStyle w:val="markedcontent"/>
          <w:sz w:val="24"/>
          <w:szCs w:val="24"/>
        </w:rPr>
        <w:t>F.</w:t>
      </w:r>
      <w:r w:rsidR="0021638E">
        <w:rPr>
          <w:rStyle w:val="markedcontent"/>
          <w:sz w:val="24"/>
          <w:szCs w:val="24"/>
        </w:rPr>
        <w:t>4th _</w:t>
      </w:r>
      <w:r w:rsidR="00972246">
        <w:rPr>
          <w:rStyle w:val="markedcontent"/>
          <w:sz w:val="24"/>
          <w:szCs w:val="24"/>
        </w:rPr>
        <w:t>__; 2021 WL 2934468</w:t>
      </w:r>
      <w:r w:rsidR="0021638E">
        <w:rPr>
          <w:rStyle w:val="markedcontent"/>
          <w:sz w:val="24"/>
          <w:szCs w:val="24"/>
        </w:rPr>
        <w:t xml:space="preserve"> (July 13, 2021</w:t>
      </w:r>
      <w:r w:rsidR="003F4739">
        <w:rPr>
          <w:rStyle w:val="markedcontent"/>
          <w:sz w:val="24"/>
          <w:szCs w:val="24"/>
        </w:rPr>
        <w:t>; amended July 15, 2021</w:t>
      </w:r>
      <w:r w:rsidR="0021638E">
        <w:rPr>
          <w:rStyle w:val="markedcontent"/>
          <w:sz w:val="24"/>
          <w:szCs w:val="24"/>
        </w:rPr>
        <w:t xml:space="preserve">). </w:t>
      </w:r>
      <w:r w:rsidR="00972246">
        <w:rPr>
          <w:rStyle w:val="markedcontent"/>
          <w:sz w:val="24"/>
          <w:szCs w:val="24"/>
        </w:rPr>
        <w:t xml:space="preserve">Federal law provides that only persons 21 years </w:t>
      </w:r>
      <w:r w:rsidR="00D733D2">
        <w:rPr>
          <w:rStyle w:val="markedcontent"/>
          <w:sz w:val="24"/>
          <w:szCs w:val="24"/>
        </w:rPr>
        <w:t xml:space="preserve">old </w:t>
      </w:r>
      <w:r w:rsidR="00972246">
        <w:rPr>
          <w:rStyle w:val="markedcontent"/>
          <w:sz w:val="24"/>
          <w:szCs w:val="24"/>
        </w:rPr>
        <w:t xml:space="preserve">and older may purchase handguns and </w:t>
      </w:r>
      <w:r w:rsidR="001D4452">
        <w:rPr>
          <w:rStyle w:val="markedcontent"/>
          <w:sz w:val="24"/>
          <w:szCs w:val="24"/>
        </w:rPr>
        <w:t xml:space="preserve">handgun </w:t>
      </w:r>
      <w:r w:rsidR="00D733D2">
        <w:rPr>
          <w:rStyle w:val="markedcontent"/>
          <w:sz w:val="24"/>
          <w:szCs w:val="24"/>
        </w:rPr>
        <w:t>ammunition</w:t>
      </w:r>
      <w:r w:rsidR="00972246">
        <w:rPr>
          <w:rStyle w:val="markedcontent"/>
          <w:sz w:val="24"/>
          <w:szCs w:val="24"/>
        </w:rPr>
        <w:t xml:space="preserve"> from a licensed firearms dealer. </w:t>
      </w:r>
      <w:r w:rsidR="00972246" w:rsidRPr="00972246">
        <w:rPr>
          <w:rStyle w:val="markedcontent"/>
          <w:i/>
          <w:iCs/>
          <w:sz w:val="24"/>
          <w:szCs w:val="24"/>
        </w:rPr>
        <w:t xml:space="preserve">See </w:t>
      </w:r>
      <w:hyperlink r:id="rId13" w:history="1">
        <w:r w:rsidR="00972246" w:rsidRPr="00972246">
          <w:rPr>
            <w:rStyle w:val="Hyperlink"/>
            <w:sz w:val="24"/>
            <w:szCs w:val="24"/>
          </w:rPr>
          <w:t>18 U.S.C. 922(b)(1)</w:t>
        </w:r>
      </w:hyperlink>
      <w:r w:rsidR="00972246">
        <w:rPr>
          <w:rStyle w:val="markedcontent"/>
          <w:sz w:val="24"/>
          <w:szCs w:val="24"/>
        </w:rPr>
        <w:t xml:space="preserve">. People under 21 years old </w:t>
      </w:r>
      <w:r w:rsidR="0024161E">
        <w:rPr>
          <w:rStyle w:val="markedcontent"/>
          <w:sz w:val="24"/>
          <w:szCs w:val="24"/>
        </w:rPr>
        <w:t>may buy rifles or shotguns from a licensed dealer (but not handguns) and may purchase handguns from a source other than a licensed dealer</w:t>
      </w:r>
      <w:r w:rsidR="005C430D">
        <w:rPr>
          <w:rStyle w:val="markedcontent"/>
          <w:sz w:val="24"/>
          <w:szCs w:val="24"/>
        </w:rPr>
        <w:t>. They</w:t>
      </w:r>
      <w:r w:rsidR="00E65260">
        <w:rPr>
          <w:rStyle w:val="markedcontent"/>
          <w:sz w:val="24"/>
          <w:szCs w:val="24"/>
        </w:rPr>
        <w:t xml:space="preserve"> may also be gifted handguns </w:t>
      </w:r>
      <w:r w:rsidR="001D4452">
        <w:rPr>
          <w:rStyle w:val="markedcontent"/>
          <w:sz w:val="24"/>
          <w:szCs w:val="24"/>
        </w:rPr>
        <w:t xml:space="preserve">obtained </w:t>
      </w:r>
      <w:r w:rsidR="00E65260">
        <w:rPr>
          <w:rStyle w:val="markedcontent"/>
          <w:sz w:val="24"/>
          <w:szCs w:val="24"/>
        </w:rPr>
        <w:t>from a licensed dealer by a parent or other perso</w:t>
      </w:r>
      <w:r w:rsidR="00D733D2">
        <w:rPr>
          <w:rStyle w:val="markedcontent"/>
          <w:sz w:val="24"/>
          <w:szCs w:val="24"/>
        </w:rPr>
        <w:t>n of age</w:t>
      </w:r>
      <w:r w:rsidR="0024161E">
        <w:rPr>
          <w:rStyle w:val="markedcontent"/>
          <w:sz w:val="24"/>
          <w:szCs w:val="24"/>
        </w:rPr>
        <w:t xml:space="preserve">. </w:t>
      </w:r>
      <w:r w:rsidR="005C430D">
        <w:rPr>
          <w:rStyle w:val="markedcontent"/>
          <w:sz w:val="24"/>
          <w:szCs w:val="24"/>
        </w:rPr>
        <w:t>The plaintiffs were peopl</w:t>
      </w:r>
      <w:r w:rsidR="00D733D2">
        <w:rPr>
          <w:rStyle w:val="markedcontent"/>
          <w:sz w:val="24"/>
          <w:szCs w:val="24"/>
        </w:rPr>
        <w:t xml:space="preserve">e </w:t>
      </w:r>
      <w:r w:rsidR="001D4452">
        <w:rPr>
          <w:rStyle w:val="markedcontent"/>
          <w:sz w:val="24"/>
          <w:szCs w:val="24"/>
        </w:rPr>
        <w:t>under</w:t>
      </w:r>
      <w:r w:rsidR="00D733D2">
        <w:rPr>
          <w:rStyle w:val="markedcontent"/>
          <w:sz w:val="24"/>
          <w:szCs w:val="24"/>
        </w:rPr>
        <w:t xml:space="preserve"> </w:t>
      </w:r>
      <w:r w:rsidR="005C430D">
        <w:rPr>
          <w:rStyle w:val="markedcontent"/>
          <w:sz w:val="24"/>
          <w:szCs w:val="24"/>
        </w:rPr>
        <w:t>21 who sought to purchase handguns from licensed dealer</w:t>
      </w:r>
      <w:r w:rsidR="00131C55">
        <w:rPr>
          <w:rStyle w:val="markedcontent"/>
          <w:sz w:val="24"/>
          <w:szCs w:val="24"/>
        </w:rPr>
        <w:t>.</w:t>
      </w:r>
      <w:r w:rsidR="005C430D">
        <w:rPr>
          <w:rStyle w:val="markedcontent"/>
          <w:sz w:val="24"/>
          <w:szCs w:val="24"/>
        </w:rPr>
        <w:t xml:space="preserve"> </w:t>
      </w:r>
      <w:r w:rsidR="0024161E">
        <w:rPr>
          <w:rStyle w:val="markedcontent"/>
          <w:sz w:val="24"/>
          <w:szCs w:val="24"/>
        </w:rPr>
        <w:t>The</w:t>
      </w:r>
      <w:r w:rsidR="005C430D">
        <w:rPr>
          <w:rStyle w:val="markedcontent"/>
          <w:sz w:val="24"/>
          <w:szCs w:val="24"/>
        </w:rPr>
        <w:t>y</w:t>
      </w:r>
      <w:r w:rsidR="0024161E">
        <w:rPr>
          <w:rStyle w:val="markedcontent"/>
          <w:sz w:val="24"/>
          <w:szCs w:val="24"/>
        </w:rPr>
        <w:t xml:space="preserve"> sought to establish that th</w:t>
      </w:r>
      <w:r w:rsidR="001D4452">
        <w:rPr>
          <w:rStyle w:val="markedcontent"/>
          <w:sz w:val="24"/>
          <w:szCs w:val="24"/>
        </w:rPr>
        <w:t>e</w:t>
      </w:r>
      <w:r w:rsidR="0024161E">
        <w:rPr>
          <w:rStyle w:val="markedcontent"/>
          <w:sz w:val="24"/>
          <w:szCs w:val="24"/>
        </w:rPr>
        <w:t xml:space="preserve"> </w:t>
      </w:r>
      <w:r w:rsidR="005C430D">
        <w:rPr>
          <w:rStyle w:val="markedcontent"/>
          <w:sz w:val="24"/>
          <w:szCs w:val="24"/>
        </w:rPr>
        <w:t xml:space="preserve">age </w:t>
      </w:r>
      <w:r w:rsidR="0024161E">
        <w:rPr>
          <w:rStyle w:val="markedcontent"/>
          <w:sz w:val="24"/>
          <w:szCs w:val="24"/>
        </w:rPr>
        <w:t xml:space="preserve">restriction violated their Second Amendment rights and to enjoin the federal government from enforcing </w:t>
      </w:r>
      <w:r w:rsidR="005C430D">
        <w:rPr>
          <w:rStyle w:val="markedcontent"/>
          <w:sz w:val="24"/>
          <w:szCs w:val="24"/>
        </w:rPr>
        <w:t>it</w:t>
      </w:r>
      <w:r w:rsidR="0024161E">
        <w:rPr>
          <w:rStyle w:val="markedcontent"/>
          <w:sz w:val="24"/>
          <w:szCs w:val="24"/>
        </w:rPr>
        <w:t xml:space="preserve">. The district court granted summary judgment to the government and denied relief. On appeal, a majority of the Fourth Circuit reversed. </w:t>
      </w:r>
    </w:p>
    <w:p w14:paraId="0D027107" w14:textId="7A851D80" w:rsidR="0021638E" w:rsidRDefault="005C430D" w:rsidP="00DC2567">
      <w:pPr>
        <w:tabs>
          <w:tab w:val="center" w:pos="4680"/>
        </w:tabs>
        <w:rPr>
          <w:rStyle w:val="markedcontent"/>
          <w:sz w:val="24"/>
          <w:szCs w:val="24"/>
        </w:rPr>
      </w:pPr>
      <w:r>
        <w:rPr>
          <w:rStyle w:val="markedcontent"/>
          <w:sz w:val="24"/>
          <w:szCs w:val="24"/>
        </w:rPr>
        <w:t xml:space="preserve">The court first determined that Second Amendment rights vest at age 18. </w:t>
      </w:r>
      <w:r w:rsidR="00E65260">
        <w:rPr>
          <w:rStyle w:val="markedcontent"/>
          <w:sz w:val="24"/>
          <w:szCs w:val="24"/>
        </w:rPr>
        <w:t>“</w:t>
      </w:r>
      <w:r w:rsidR="00E65260" w:rsidRPr="00E65260">
        <w:rPr>
          <w:rStyle w:val="markedcontent"/>
          <w:sz w:val="24"/>
          <w:szCs w:val="24"/>
        </w:rPr>
        <w:t>A review of the Constitution’s text, structure, and history reveals that 18-year-olds are covered by the Second Amendment.</w:t>
      </w:r>
      <w:r w:rsidR="00E65260">
        <w:rPr>
          <w:rStyle w:val="markedcontent"/>
          <w:sz w:val="24"/>
          <w:szCs w:val="24"/>
        </w:rPr>
        <w:t xml:space="preserve">” </w:t>
      </w:r>
      <w:r w:rsidR="00E65260" w:rsidRPr="00E65260">
        <w:rPr>
          <w:rStyle w:val="markedcontent"/>
          <w:i/>
          <w:iCs/>
          <w:sz w:val="24"/>
          <w:szCs w:val="24"/>
        </w:rPr>
        <w:t>Hirschfeld</w:t>
      </w:r>
      <w:r w:rsidR="00E65260">
        <w:rPr>
          <w:rStyle w:val="markedcontent"/>
          <w:sz w:val="24"/>
          <w:szCs w:val="24"/>
        </w:rPr>
        <w:t xml:space="preserve"> Slip op. at 60. </w:t>
      </w:r>
      <w:r>
        <w:rPr>
          <w:rStyle w:val="markedcontent"/>
          <w:sz w:val="24"/>
          <w:szCs w:val="24"/>
        </w:rPr>
        <w:t>It went on to find that t</w:t>
      </w:r>
      <w:r w:rsidR="00E65260">
        <w:rPr>
          <w:rStyle w:val="markedcontent"/>
          <w:sz w:val="24"/>
          <w:szCs w:val="24"/>
        </w:rPr>
        <w:t>he prohibition on handgun purchases by those less than 21</w:t>
      </w:r>
      <w:r>
        <w:rPr>
          <w:rStyle w:val="markedcontent"/>
          <w:sz w:val="24"/>
          <w:szCs w:val="24"/>
        </w:rPr>
        <w:t xml:space="preserve"> </w:t>
      </w:r>
      <w:r w:rsidR="00E65260">
        <w:rPr>
          <w:rStyle w:val="markedcontent"/>
          <w:sz w:val="24"/>
          <w:szCs w:val="24"/>
        </w:rPr>
        <w:t>fail</w:t>
      </w:r>
      <w:r>
        <w:rPr>
          <w:rStyle w:val="markedcontent"/>
          <w:sz w:val="24"/>
          <w:szCs w:val="24"/>
        </w:rPr>
        <w:t>ed</w:t>
      </w:r>
      <w:r w:rsidR="00E65260">
        <w:rPr>
          <w:rStyle w:val="markedcontent"/>
          <w:sz w:val="24"/>
          <w:szCs w:val="24"/>
        </w:rPr>
        <w:t xml:space="preserve"> to meet intermediate scrutiny and could not survive. “</w:t>
      </w:r>
      <w:r w:rsidR="00E65260" w:rsidRPr="00E65260">
        <w:rPr>
          <w:rStyle w:val="markedcontent"/>
          <w:sz w:val="24"/>
          <w:szCs w:val="24"/>
        </w:rPr>
        <w:t>Eighteen- to twenty-year-</w:t>
      </w:r>
      <w:r w:rsidR="00DA10FA" w:rsidRPr="00E65260">
        <w:rPr>
          <w:rStyle w:val="markedcontent"/>
          <w:sz w:val="24"/>
          <w:szCs w:val="24"/>
        </w:rPr>
        <w:t>old’s</w:t>
      </w:r>
      <w:r w:rsidR="00E65260" w:rsidRPr="00E65260">
        <w:rPr>
          <w:rStyle w:val="markedcontent"/>
          <w:sz w:val="24"/>
          <w:szCs w:val="24"/>
        </w:rPr>
        <w:t xml:space="preserve"> have Second Amendment rights, and the challenged laws impermissibly burden those rights.</w:t>
      </w:r>
      <w:r w:rsidR="00E65260">
        <w:rPr>
          <w:rStyle w:val="markedcontent"/>
          <w:sz w:val="24"/>
          <w:szCs w:val="24"/>
        </w:rPr>
        <w:t xml:space="preserve">” </w:t>
      </w:r>
      <w:r w:rsidR="00E65260">
        <w:rPr>
          <w:rStyle w:val="markedcontent"/>
          <w:i/>
          <w:iCs/>
          <w:sz w:val="24"/>
          <w:szCs w:val="24"/>
        </w:rPr>
        <w:t>Id.</w:t>
      </w:r>
      <w:r w:rsidR="00E65260">
        <w:rPr>
          <w:rStyle w:val="markedcontent"/>
          <w:sz w:val="24"/>
          <w:szCs w:val="24"/>
        </w:rPr>
        <w:t xml:space="preserve"> at 83. The matter was therefore reversed and remanded for additional proceedings.</w:t>
      </w:r>
    </w:p>
    <w:p w14:paraId="2FF01D5F" w14:textId="5107E9D6" w:rsidR="00B71CA1" w:rsidRDefault="00E65260" w:rsidP="00DC2567">
      <w:pPr>
        <w:tabs>
          <w:tab w:val="center" w:pos="4680"/>
        </w:tabs>
        <w:rPr>
          <w:rStyle w:val="markedcontent"/>
          <w:sz w:val="24"/>
          <w:szCs w:val="24"/>
        </w:rPr>
      </w:pPr>
      <w:r>
        <w:rPr>
          <w:rStyle w:val="markedcontent"/>
          <w:sz w:val="24"/>
          <w:szCs w:val="24"/>
        </w:rPr>
        <w:t xml:space="preserve">Judge Wynn dissented and would have affirmed the district court. </w:t>
      </w:r>
      <w:r w:rsidR="00E867AD">
        <w:rPr>
          <w:rStyle w:val="markedcontent"/>
          <w:sz w:val="24"/>
          <w:szCs w:val="24"/>
        </w:rPr>
        <w:t>He would have found the age restriction for handgun purchases from licensed dealers</w:t>
      </w:r>
      <w:r w:rsidR="00E6343E">
        <w:rPr>
          <w:rStyle w:val="markedcontent"/>
          <w:sz w:val="24"/>
          <w:szCs w:val="24"/>
        </w:rPr>
        <w:t xml:space="preserve"> was</w:t>
      </w:r>
      <w:r w:rsidR="00E867AD">
        <w:rPr>
          <w:rStyle w:val="markedcontent"/>
          <w:sz w:val="24"/>
          <w:szCs w:val="24"/>
        </w:rPr>
        <w:t xml:space="preserve"> lawful under relevant U.S. Supreme Court precedent and noted that the majority’s ruling creates a circuit split</w:t>
      </w:r>
      <w:r w:rsidR="00B76B8E">
        <w:rPr>
          <w:rStyle w:val="markedcontent"/>
          <w:sz w:val="24"/>
          <w:szCs w:val="24"/>
        </w:rPr>
        <w:t>, among other arguments</w:t>
      </w:r>
      <w:r w:rsidR="00E867AD">
        <w:rPr>
          <w:rStyle w:val="markedcontent"/>
          <w:sz w:val="24"/>
          <w:szCs w:val="24"/>
        </w:rPr>
        <w:t xml:space="preserve">. </w:t>
      </w:r>
      <w:r w:rsidR="00E867AD" w:rsidRPr="00E867AD">
        <w:rPr>
          <w:rStyle w:val="markedcontent"/>
          <w:i/>
          <w:iCs/>
          <w:sz w:val="24"/>
          <w:szCs w:val="24"/>
        </w:rPr>
        <w:t>See Nat’l Rifle Ass’n of Am., Inc. v. ATF</w:t>
      </w:r>
      <w:r w:rsidR="00841976">
        <w:rPr>
          <w:rStyle w:val="markedcontent"/>
          <w:sz w:val="24"/>
          <w:szCs w:val="24"/>
        </w:rPr>
        <w:t xml:space="preserve">, 700 F.3d 185 </w:t>
      </w:r>
      <w:r w:rsidR="00E867AD">
        <w:rPr>
          <w:rStyle w:val="markedcontent"/>
          <w:sz w:val="24"/>
          <w:szCs w:val="24"/>
        </w:rPr>
        <w:t>(5th Cir. 2012)</w:t>
      </w:r>
      <w:r w:rsidR="00EA4CA2">
        <w:rPr>
          <w:rStyle w:val="markedcontent"/>
          <w:sz w:val="24"/>
          <w:szCs w:val="24"/>
        </w:rPr>
        <w:t xml:space="preserve"> (upholding federal age limit for handgun purchases from licensed dealers)</w:t>
      </w:r>
      <w:r w:rsidR="00E867AD">
        <w:rPr>
          <w:rStyle w:val="markedcontent"/>
          <w:sz w:val="24"/>
          <w:szCs w:val="24"/>
        </w:rPr>
        <w:t>.</w:t>
      </w:r>
    </w:p>
    <w:p w14:paraId="36147534" w14:textId="77777777" w:rsidR="001136B0" w:rsidRDefault="001136B0" w:rsidP="00131C55">
      <w:pPr>
        <w:pStyle w:val="NoSpacing"/>
        <w:rPr>
          <w:rStyle w:val="markedcontent"/>
          <w:b/>
          <w:bCs/>
          <w:sz w:val="24"/>
          <w:szCs w:val="24"/>
        </w:rPr>
      </w:pPr>
    </w:p>
    <w:p w14:paraId="5EC19979" w14:textId="77777777" w:rsidR="001136B0" w:rsidRDefault="001136B0" w:rsidP="00131C55">
      <w:pPr>
        <w:pStyle w:val="NoSpacing"/>
        <w:rPr>
          <w:rStyle w:val="markedcontent"/>
          <w:b/>
          <w:bCs/>
          <w:sz w:val="24"/>
          <w:szCs w:val="24"/>
        </w:rPr>
      </w:pPr>
    </w:p>
    <w:p w14:paraId="1138767F" w14:textId="49E12E7F" w:rsidR="003C77ED" w:rsidRDefault="009C2A19" w:rsidP="00131C55">
      <w:pPr>
        <w:pStyle w:val="NoSpacing"/>
        <w:rPr>
          <w:rStyle w:val="markedcontent"/>
          <w:b/>
          <w:bCs/>
          <w:sz w:val="24"/>
          <w:szCs w:val="24"/>
        </w:rPr>
      </w:pPr>
      <w:r>
        <w:rPr>
          <w:rStyle w:val="markedcontent"/>
          <w:b/>
          <w:bCs/>
          <w:sz w:val="24"/>
          <w:szCs w:val="24"/>
        </w:rPr>
        <w:lastRenderedPageBreak/>
        <w:t xml:space="preserve">(1) </w:t>
      </w:r>
      <w:r w:rsidR="003C77ED" w:rsidRPr="00131C55">
        <w:rPr>
          <w:rStyle w:val="markedcontent"/>
          <w:b/>
          <w:bCs/>
          <w:sz w:val="24"/>
          <w:szCs w:val="24"/>
        </w:rPr>
        <w:t xml:space="preserve">Restrictions on social media use affirmed; </w:t>
      </w:r>
      <w:r>
        <w:rPr>
          <w:rStyle w:val="markedcontent"/>
          <w:b/>
          <w:bCs/>
          <w:sz w:val="24"/>
          <w:szCs w:val="24"/>
        </w:rPr>
        <w:t xml:space="preserve">(2) </w:t>
      </w:r>
      <w:r w:rsidR="003C77ED" w:rsidRPr="00131C55">
        <w:rPr>
          <w:rStyle w:val="markedcontent"/>
          <w:b/>
          <w:bCs/>
          <w:sz w:val="24"/>
          <w:szCs w:val="24"/>
        </w:rPr>
        <w:t>Probation officer sitting with prosecutor at revocation hearing was not plain error, but court cautions against practice</w:t>
      </w:r>
    </w:p>
    <w:p w14:paraId="2EE623CF" w14:textId="77777777" w:rsidR="00131C55" w:rsidRPr="00131C55" w:rsidRDefault="00131C55" w:rsidP="00131C55">
      <w:pPr>
        <w:pStyle w:val="NoSpacing"/>
        <w:rPr>
          <w:rStyle w:val="markedcontent"/>
          <w:b/>
          <w:bCs/>
          <w:sz w:val="24"/>
          <w:szCs w:val="24"/>
        </w:rPr>
      </w:pPr>
    </w:p>
    <w:p w14:paraId="4F1DAA59" w14:textId="52696A01" w:rsidR="0075114C" w:rsidRDefault="00424AC3" w:rsidP="00DC2567">
      <w:pPr>
        <w:tabs>
          <w:tab w:val="center" w:pos="4680"/>
        </w:tabs>
        <w:rPr>
          <w:rStyle w:val="markedcontent"/>
          <w:sz w:val="24"/>
          <w:szCs w:val="24"/>
        </w:rPr>
      </w:pPr>
      <w:hyperlink r:id="rId14" w:history="1">
        <w:r w:rsidR="000D2C58" w:rsidRPr="001857F1">
          <w:rPr>
            <w:rStyle w:val="Hyperlink"/>
            <w:sz w:val="24"/>
            <w:szCs w:val="24"/>
          </w:rPr>
          <w:t>U.S. v. Comer</w:t>
        </w:r>
      </w:hyperlink>
      <w:r w:rsidR="000D2C58">
        <w:rPr>
          <w:rStyle w:val="markedcontent"/>
          <w:sz w:val="24"/>
          <w:szCs w:val="24"/>
        </w:rPr>
        <w:t xml:space="preserve">, ___ F.4th </w:t>
      </w:r>
      <w:r w:rsidR="001857F1">
        <w:rPr>
          <w:rStyle w:val="markedcontent"/>
          <w:sz w:val="24"/>
          <w:szCs w:val="24"/>
        </w:rPr>
        <w:t>___</w:t>
      </w:r>
      <w:r w:rsidR="006C41BB">
        <w:rPr>
          <w:rStyle w:val="markedcontent"/>
          <w:sz w:val="24"/>
          <w:szCs w:val="24"/>
        </w:rPr>
        <w:t>; 2021 WL 3072894</w:t>
      </w:r>
      <w:r w:rsidR="001857F1">
        <w:rPr>
          <w:rStyle w:val="markedcontent"/>
          <w:sz w:val="24"/>
          <w:szCs w:val="24"/>
        </w:rPr>
        <w:t xml:space="preserve"> (July 21, 2021). </w:t>
      </w:r>
      <w:r w:rsidR="00FB4E17">
        <w:rPr>
          <w:rStyle w:val="markedcontent"/>
          <w:sz w:val="24"/>
          <w:szCs w:val="24"/>
        </w:rPr>
        <w:t>T</w:t>
      </w:r>
      <w:r w:rsidR="00B76B8E">
        <w:rPr>
          <w:rStyle w:val="markedcontent"/>
          <w:sz w:val="24"/>
          <w:szCs w:val="24"/>
        </w:rPr>
        <w:t>he defendant was convicted of sex trafficking</w:t>
      </w:r>
      <w:r w:rsidR="00FB4E17">
        <w:rPr>
          <w:rStyle w:val="markedcontent"/>
          <w:sz w:val="24"/>
          <w:szCs w:val="24"/>
        </w:rPr>
        <w:t xml:space="preserve"> in the Western District of North Carolina</w:t>
      </w:r>
      <w:r w:rsidR="00B76B8E">
        <w:rPr>
          <w:rStyle w:val="markedcontent"/>
          <w:sz w:val="24"/>
          <w:szCs w:val="24"/>
        </w:rPr>
        <w:t>. Her crimes involved recruiting woman on social media to join a prostitution ring, and, in at least one instance, using social media to attempt to coerce a woman into returning to prostitution. While on supervised release, she also used social media to set up a drug sale. The district court required that the defendant have no social media accounts without the consent of her probation officer as a special condition of supervised release. The defendant challenged this condition on appeal. She also complained that her probation officer sat with the government attorney during her supervised release revocation hearing</w:t>
      </w:r>
      <w:r w:rsidR="00A85F0A">
        <w:rPr>
          <w:rStyle w:val="markedcontent"/>
          <w:sz w:val="24"/>
          <w:szCs w:val="24"/>
        </w:rPr>
        <w:t>, alleging</w:t>
      </w:r>
      <w:r w:rsidR="0075114C">
        <w:rPr>
          <w:rStyle w:val="markedcontent"/>
          <w:sz w:val="24"/>
          <w:szCs w:val="24"/>
        </w:rPr>
        <w:t xml:space="preserve"> a due process violation and separation of powers issues.</w:t>
      </w:r>
    </w:p>
    <w:p w14:paraId="717199CE" w14:textId="0B618226" w:rsidR="000B5C97" w:rsidRDefault="009C2A19" w:rsidP="00DC2567">
      <w:pPr>
        <w:tabs>
          <w:tab w:val="center" w:pos="4680"/>
        </w:tabs>
        <w:rPr>
          <w:rStyle w:val="markedcontent"/>
          <w:sz w:val="24"/>
          <w:szCs w:val="24"/>
        </w:rPr>
      </w:pPr>
      <w:r>
        <w:rPr>
          <w:rStyle w:val="markedcontent"/>
          <w:sz w:val="24"/>
          <w:szCs w:val="24"/>
        </w:rPr>
        <w:t xml:space="preserve">(1) </w:t>
      </w:r>
      <w:r w:rsidR="0075114C">
        <w:rPr>
          <w:rStyle w:val="markedcontent"/>
          <w:sz w:val="24"/>
          <w:szCs w:val="24"/>
        </w:rPr>
        <w:t>The district court did not err in imposing the social media restriction. The condition was not unduly vague and the probation officer’s testimony at the revocation hearing gave the defendant fair notice of what conduct would be prohibited. The restriction would not bar the defendant from pursuing professional opportunities or staying informed of current events but would preclude the defendant from pursuing purely social activities through social media</w:t>
      </w:r>
      <w:r w:rsidR="00FB4E17">
        <w:rPr>
          <w:rStyle w:val="markedcontent"/>
          <w:sz w:val="24"/>
          <w:szCs w:val="24"/>
        </w:rPr>
        <w:t xml:space="preserve"> </w:t>
      </w:r>
      <w:r w:rsidR="0075114C">
        <w:rPr>
          <w:rStyle w:val="markedcontent"/>
          <w:sz w:val="24"/>
          <w:szCs w:val="24"/>
        </w:rPr>
        <w:t xml:space="preserve">absent the consent of her probation officer. Should the restriction become unwieldy or be applied in an unpredictable way, the defendant could challenge that application at that time. The restriction was also not a greater deprivation than was needed to ensure the goals of supervision. Given that her underlying crime involved the use of social media, her continued use of social media to facilitate criminal activity even during her period of supervision, and her past efforts to circumvent internet restrictions, the condition was not overbroad and did not impermissibly restrict the defendant’s liberty. Finally, the condition was not an improper delegation of authority to the probation officer. </w:t>
      </w:r>
      <w:r w:rsidR="00912191">
        <w:rPr>
          <w:rStyle w:val="markedcontent"/>
          <w:sz w:val="24"/>
          <w:szCs w:val="24"/>
        </w:rPr>
        <w:t>This was consistent with circuit precedent and that of other circuits. According to the court:</w:t>
      </w:r>
      <w:r w:rsidR="0075114C">
        <w:rPr>
          <w:rStyle w:val="markedcontent"/>
          <w:sz w:val="24"/>
          <w:szCs w:val="24"/>
        </w:rPr>
        <w:t xml:space="preserve"> “[A]</w:t>
      </w:r>
      <w:r w:rsidR="0075114C" w:rsidRPr="0075114C">
        <w:rPr>
          <w:rStyle w:val="markedcontent"/>
          <w:sz w:val="24"/>
          <w:szCs w:val="24"/>
        </w:rPr>
        <w:t>s long as the court orders the broad principle guiding the condition of release and retains the ultimate authority over revoking release, the court may allow the probation officer to fill in many of the details necessary for applying the condition.</w:t>
      </w:r>
      <w:r w:rsidR="00912191">
        <w:rPr>
          <w:rStyle w:val="markedcontent"/>
          <w:sz w:val="24"/>
          <w:szCs w:val="24"/>
        </w:rPr>
        <w:t xml:space="preserve">” </w:t>
      </w:r>
      <w:r w:rsidR="00912191" w:rsidRPr="00912191">
        <w:rPr>
          <w:rStyle w:val="markedcontent"/>
          <w:i/>
          <w:iCs/>
          <w:sz w:val="24"/>
          <w:szCs w:val="24"/>
        </w:rPr>
        <w:t xml:space="preserve">Comer </w:t>
      </w:r>
      <w:r w:rsidR="00912191">
        <w:rPr>
          <w:rStyle w:val="markedcontent"/>
          <w:sz w:val="24"/>
          <w:szCs w:val="24"/>
        </w:rPr>
        <w:t>Slip op. at 19.</w:t>
      </w:r>
    </w:p>
    <w:p w14:paraId="7E534BE0" w14:textId="45BFA508" w:rsidR="00912191" w:rsidRDefault="009C2A19" w:rsidP="00DC2567">
      <w:pPr>
        <w:tabs>
          <w:tab w:val="center" w:pos="4680"/>
        </w:tabs>
        <w:rPr>
          <w:rStyle w:val="markedcontent"/>
          <w:sz w:val="24"/>
          <w:szCs w:val="24"/>
        </w:rPr>
      </w:pPr>
      <w:r>
        <w:rPr>
          <w:rStyle w:val="markedcontent"/>
          <w:sz w:val="24"/>
          <w:szCs w:val="24"/>
        </w:rPr>
        <w:t xml:space="preserve">(2) </w:t>
      </w:r>
      <w:r w:rsidR="00912191">
        <w:rPr>
          <w:rStyle w:val="markedcontent"/>
          <w:sz w:val="24"/>
          <w:szCs w:val="24"/>
        </w:rPr>
        <w:t xml:space="preserve">The defendant did not object to the probation officer sitting with </w:t>
      </w:r>
      <w:r w:rsidR="00FB4E17">
        <w:rPr>
          <w:rStyle w:val="markedcontent"/>
          <w:sz w:val="24"/>
          <w:szCs w:val="24"/>
        </w:rPr>
        <w:t>and</w:t>
      </w:r>
      <w:r w:rsidR="00912191">
        <w:rPr>
          <w:rStyle w:val="markedcontent"/>
          <w:sz w:val="24"/>
          <w:szCs w:val="24"/>
        </w:rPr>
        <w:t xml:space="preserve"> whispering with the </w:t>
      </w:r>
      <w:r w:rsidR="00FB4E17">
        <w:rPr>
          <w:rStyle w:val="markedcontent"/>
          <w:sz w:val="24"/>
          <w:szCs w:val="24"/>
        </w:rPr>
        <w:t xml:space="preserve">government </w:t>
      </w:r>
      <w:r w:rsidR="00912191">
        <w:rPr>
          <w:rStyle w:val="markedcontent"/>
          <w:sz w:val="24"/>
          <w:szCs w:val="24"/>
        </w:rPr>
        <w:t xml:space="preserve">attorney during her revocation hearing. A Seventh Circuit case suggests that the practice of a probation officer sitting at the government’s table during court proceedings is improper. </w:t>
      </w:r>
      <w:r w:rsidR="00912191" w:rsidRPr="00912191">
        <w:rPr>
          <w:rStyle w:val="markedcontent"/>
          <w:i/>
          <w:iCs/>
          <w:sz w:val="24"/>
          <w:szCs w:val="24"/>
        </w:rPr>
        <w:t>U.S. v. Turner</w:t>
      </w:r>
      <w:r w:rsidR="00912191">
        <w:rPr>
          <w:rStyle w:val="markedcontent"/>
          <w:sz w:val="24"/>
          <w:szCs w:val="24"/>
        </w:rPr>
        <w:t>, 203 F.3d 1010 (7th Cir. 2000)</w:t>
      </w:r>
      <w:r w:rsidR="00FB4E17">
        <w:rPr>
          <w:rStyle w:val="markedcontent"/>
          <w:sz w:val="24"/>
          <w:szCs w:val="24"/>
        </w:rPr>
        <w:t>, and the defendant pointed to that case, arguing plain error.</w:t>
      </w:r>
      <w:r w:rsidR="00912191">
        <w:rPr>
          <w:rStyle w:val="markedcontent"/>
          <w:sz w:val="24"/>
          <w:szCs w:val="24"/>
        </w:rPr>
        <w:t xml:space="preserve"> The defendant was not entitled to relief under </w:t>
      </w:r>
      <w:r w:rsidR="00912191" w:rsidRPr="00FB4E17">
        <w:rPr>
          <w:rStyle w:val="markedcontent"/>
          <w:i/>
          <w:iCs/>
          <w:sz w:val="24"/>
          <w:szCs w:val="24"/>
        </w:rPr>
        <w:t>Turner</w:t>
      </w:r>
      <w:r w:rsidR="00912191">
        <w:rPr>
          <w:rStyle w:val="markedcontent"/>
          <w:sz w:val="24"/>
          <w:szCs w:val="24"/>
        </w:rPr>
        <w:t xml:space="preserve">. Because it was an out-of-circuit case and merely advised against the challenged practice, the defendant could not establish plain error. However, the court agreed that the best practice would be to avoid </w:t>
      </w:r>
      <w:r w:rsidR="00316B26">
        <w:rPr>
          <w:rStyle w:val="markedcontent"/>
          <w:sz w:val="24"/>
          <w:szCs w:val="24"/>
        </w:rPr>
        <w:t xml:space="preserve">having </w:t>
      </w:r>
      <w:r w:rsidR="00912191">
        <w:rPr>
          <w:rStyle w:val="markedcontent"/>
          <w:sz w:val="24"/>
          <w:szCs w:val="24"/>
        </w:rPr>
        <w:t>probation officer</w:t>
      </w:r>
      <w:r w:rsidR="00316B26">
        <w:rPr>
          <w:rStyle w:val="markedcontent"/>
          <w:sz w:val="24"/>
          <w:szCs w:val="24"/>
        </w:rPr>
        <w:t>s</w:t>
      </w:r>
      <w:r w:rsidR="00912191">
        <w:rPr>
          <w:rStyle w:val="markedcontent"/>
          <w:sz w:val="24"/>
          <w:szCs w:val="24"/>
        </w:rPr>
        <w:t xml:space="preserve"> sit with the government</w:t>
      </w:r>
      <w:r w:rsidR="00BB2252">
        <w:rPr>
          <w:rStyle w:val="markedcontent"/>
          <w:sz w:val="24"/>
          <w:szCs w:val="24"/>
        </w:rPr>
        <w:t xml:space="preserve"> during court hearings</w:t>
      </w:r>
      <w:r w:rsidR="00912191">
        <w:rPr>
          <w:rStyle w:val="markedcontent"/>
          <w:sz w:val="24"/>
          <w:szCs w:val="24"/>
        </w:rPr>
        <w:t>. In its words:</w:t>
      </w:r>
    </w:p>
    <w:p w14:paraId="4D1F27E6" w14:textId="74960E21" w:rsidR="00912191" w:rsidRPr="00912191" w:rsidRDefault="00912191" w:rsidP="00912191">
      <w:pPr>
        <w:tabs>
          <w:tab w:val="center" w:pos="4680"/>
        </w:tabs>
        <w:ind w:left="720" w:right="540"/>
        <w:jc w:val="both"/>
        <w:rPr>
          <w:rStyle w:val="markedcontent"/>
          <w:sz w:val="20"/>
          <w:szCs w:val="20"/>
        </w:rPr>
      </w:pPr>
      <w:r w:rsidRPr="00912191">
        <w:rPr>
          <w:rStyle w:val="markedcontent"/>
          <w:sz w:val="24"/>
          <w:szCs w:val="24"/>
        </w:rPr>
        <w:lastRenderedPageBreak/>
        <w:t xml:space="preserve">With that said, we understand Comer’s frustration with this arrangement and, like the Seventh Circuit, believe that the perception of fairness in federal courts will be strongly advanced by sitting probation officers apart from either defendants or the Government. After all, </w:t>
      </w:r>
      <w:r>
        <w:rPr>
          <w:rStyle w:val="markedcontent"/>
          <w:sz w:val="24"/>
          <w:szCs w:val="24"/>
        </w:rPr>
        <w:t>‘</w:t>
      </w:r>
      <w:r w:rsidRPr="00912191">
        <w:rPr>
          <w:rStyle w:val="markedcontent"/>
          <w:sz w:val="24"/>
          <w:szCs w:val="24"/>
        </w:rPr>
        <w:t>the probation officer is an agent of the court.</w:t>
      </w:r>
      <w:r>
        <w:rPr>
          <w:rStyle w:val="markedcontent"/>
          <w:sz w:val="24"/>
          <w:szCs w:val="24"/>
        </w:rPr>
        <w:t>’</w:t>
      </w:r>
      <w:r w:rsidRPr="00912191">
        <w:rPr>
          <w:rStyle w:val="markedcontent"/>
          <w:sz w:val="24"/>
          <w:szCs w:val="24"/>
        </w:rPr>
        <w:t xml:space="preserve"> </w:t>
      </w:r>
      <w:r>
        <w:rPr>
          <w:rStyle w:val="markedcontent"/>
          <w:sz w:val="24"/>
          <w:szCs w:val="24"/>
        </w:rPr>
        <w:t>‘</w:t>
      </w:r>
      <w:r w:rsidRPr="00912191">
        <w:rPr>
          <w:rStyle w:val="markedcontent"/>
          <w:sz w:val="24"/>
          <w:szCs w:val="24"/>
        </w:rPr>
        <w:t>As an arm of the court, [they are] not supposed to take an adversarial role in a sentencing or revocation hearing.</w:t>
      </w:r>
      <w:r>
        <w:rPr>
          <w:rStyle w:val="markedcontent"/>
          <w:sz w:val="24"/>
          <w:szCs w:val="24"/>
        </w:rPr>
        <w:t>’</w:t>
      </w:r>
      <w:r w:rsidRPr="00912191">
        <w:rPr>
          <w:rStyle w:val="markedcontent"/>
          <w:sz w:val="24"/>
          <w:szCs w:val="24"/>
        </w:rPr>
        <w:t xml:space="preserve"> Defendants will better understand this crucial role if probation officers are not literally sitting with the prosecution. As a result, they may come to better trust the officers tasked with helping them transition to law-abiding lives. At the end of the day, by sitting at a separate table, the probation officer, as an arm of court, avoids the appearance of impropriety and so promotes the public’s confidence in the evenhanded administration of justice.</w:t>
      </w:r>
      <w:r>
        <w:rPr>
          <w:rStyle w:val="markedcontent"/>
          <w:sz w:val="24"/>
          <w:szCs w:val="24"/>
        </w:rPr>
        <w:t xml:space="preserve"> </w:t>
      </w:r>
      <w:r w:rsidRPr="00912191">
        <w:rPr>
          <w:rStyle w:val="markedcontent"/>
          <w:i/>
          <w:iCs/>
          <w:sz w:val="24"/>
          <w:szCs w:val="24"/>
        </w:rPr>
        <w:t>Comer</w:t>
      </w:r>
      <w:r>
        <w:rPr>
          <w:rStyle w:val="markedcontent"/>
          <w:sz w:val="24"/>
          <w:szCs w:val="24"/>
        </w:rPr>
        <w:t xml:space="preserve"> Slip op. at 23 (internal citations omitted).</w:t>
      </w:r>
    </w:p>
    <w:p w14:paraId="253BEE09" w14:textId="77777777" w:rsidR="00B76B8E" w:rsidRDefault="00B76B8E" w:rsidP="00DC2567">
      <w:pPr>
        <w:tabs>
          <w:tab w:val="center" w:pos="4680"/>
        </w:tabs>
        <w:rPr>
          <w:rStyle w:val="markedcontent"/>
          <w:sz w:val="24"/>
          <w:szCs w:val="24"/>
        </w:rPr>
      </w:pPr>
    </w:p>
    <w:p w14:paraId="12550825" w14:textId="77777777" w:rsidR="0021638E" w:rsidRPr="0021638E" w:rsidRDefault="0021638E" w:rsidP="00DC2567">
      <w:pPr>
        <w:tabs>
          <w:tab w:val="center" w:pos="4680"/>
        </w:tabs>
        <w:rPr>
          <w:rFonts w:cstheme="minorHAnsi"/>
          <w:sz w:val="20"/>
          <w:szCs w:val="20"/>
        </w:rPr>
      </w:pPr>
    </w:p>
    <w:p w14:paraId="42C94119" w14:textId="74B59B03" w:rsidR="00A542B5" w:rsidRPr="00A542B5" w:rsidRDefault="00A542B5" w:rsidP="00A542B5">
      <w:pPr>
        <w:tabs>
          <w:tab w:val="center" w:pos="4680"/>
        </w:tabs>
        <w:rPr>
          <w:rFonts w:eastAsia="Times New Roman" w:cstheme="minorHAnsi"/>
          <w:sz w:val="24"/>
          <w:szCs w:val="24"/>
        </w:rPr>
      </w:pPr>
    </w:p>
    <w:sectPr w:rsidR="00A542B5" w:rsidRPr="00A542B5" w:rsidSect="00666F44">
      <w:footerReference w:type="default" r:id="rId15"/>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9D95" w14:textId="77777777" w:rsidR="00424AC3" w:rsidRDefault="00424AC3">
      <w:pPr>
        <w:spacing w:after="0" w:line="240" w:lineRule="auto"/>
      </w:pPr>
      <w:r>
        <w:separator/>
      </w:r>
    </w:p>
  </w:endnote>
  <w:endnote w:type="continuationSeparator" w:id="0">
    <w:p w14:paraId="6BB2BCFF" w14:textId="77777777" w:rsidR="00424AC3" w:rsidRDefault="0042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645958"/>
      <w:docPartObj>
        <w:docPartGallery w:val="Page Numbers (Bottom of Page)"/>
        <w:docPartUnique/>
      </w:docPartObj>
    </w:sdtPr>
    <w:sdtEndPr>
      <w:rPr>
        <w:noProof/>
      </w:rPr>
    </w:sdtEndPr>
    <w:sdtContent>
      <w:p w14:paraId="50C6F099" w14:textId="77777777" w:rsidR="008225C3" w:rsidRDefault="00822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09098D" w14:textId="77777777" w:rsidR="008225C3" w:rsidRDefault="0082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B3B1" w14:textId="77777777" w:rsidR="00424AC3" w:rsidRDefault="00424AC3">
      <w:pPr>
        <w:spacing w:after="0" w:line="240" w:lineRule="auto"/>
      </w:pPr>
      <w:r>
        <w:separator/>
      </w:r>
    </w:p>
  </w:footnote>
  <w:footnote w:type="continuationSeparator" w:id="0">
    <w:p w14:paraId="06E99798" w14:textId="77777777" w:rsidR="00424AC3" w:rsidRDefault="00424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070"/>
    <w:multiLevelType w:val="hybridMultilevel"/>
    <w:tmpl w:val="7966992A"/>
    <w:lvl w:ilvl="0" w:tplc="9280D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0CDF"/>
    <w:multiLevelType w:val="hybridMultilevel"/>
    <w:tmpl w:val="42C4CDC2"/>
    <w:lvl w:ilvl="0" w:tplc="66D68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7637F"/>
    <w:multiLevelType w:val="hybridMultilevel"/>
    <w:tmpl w:val="FB00EB2E"/>
    <w:lvl w:ilvl="0" w:tplc="695A3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3081C"/>
    <w:multiLevelType w:val="hybridMultilevel"/>
    <w:tmpl w:val="ACD86B72"/>
    <w:lvl w:ilvl="0" w:tplc="54A23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051D"/>
    <w:multiLevelType w:val="hybridMultilevel"/>
    <w:tmpl w:val="2D58004C"/>
    <w:lvl w:ilvl="0" w:tplc="75CC8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9775C"/>
    <w:multiLevelType w:val="hybridMultilevel"/>
    <w:tmpl w:val="60262AC0"/>
    <w:lvl w:ilvl="0" w:tplc="273C9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C1CA9"/>
    <w:multiLevelType w:val="hybridMultilevel"/>
    <w:tmpl w:val="AD0AF4F0"/>
    <w:lvl w:ilvl="0" w:tplc="41B08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07409"/>
    <w:multiLevelType w:val="hybridMultilevel"/>
    <w:tmpl w:val="E3722034"/>
    <w:lvl w:ilvl="0" w:tplc="7E7E0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94D53"/>
    <w:multiLevelType w:val="hybridMultilevel"/>
    <w:tmpl w:val="6968502A"/>
    <w:lvl w:ilvl="0" w:tplc="B04CE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945A4"/>
    <w:multiLevelType w:val="hybridMultilevel"/>
    <w:tmpl w:val="3DC2AD7E"/>
    <w:lvl w:ilvl="0" w:tplc="D114A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001BD"/>
    <w:multiLevelType w:val="hybridMultilevel"/>
    <w:tmpl w:val="4768B9C6"/>
    <w:lvl w:ilvl="0" w:tplc="C9EAB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478AA"/>
    <w:multiLevelType w:val="hybridMultilevel"/>
    <w:tmpl w:val="9D881890"/>
    <w:lvl w:ilvl="0" w:tplc="A0880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C2AF0"/>
    <w:multiLevelType w:val="hybridMultilevel"/>
    <w:tmpl w:val="DD1C0048"/>
    <w:lvl w:ilvl="0" w:tplc="F3768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F4545"/>
    <w:multiLevelType w:val="hybridMultilevel"/>
    <w:tmpl w:val="C49C3020"/>
    <w:lvl w:ilvl="0" w:tplc="AB682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27665"/>
    <w:multiLevelType w:val="hybridMultilevel"/>
    <w:tmpl w:val="A8483DDA"/>
    <w:lvl w:ilvl="0" w:tplc="7124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A39A4"/>
    <w:multiLevelType w:val="hybridMultilevel"/>
    <w:tmpl w:val="C430081E"/>
    <w:lvl w:ilvl="0" w:tplc="31865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C4DBB"/>
    <w:multiLevelType w:val="hybridMultilevel"/>
    <w:tmpl w:val="11E025C2"/>
    <w:lvl w:ilvl="0" w:tplc="87C2C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220B5"/>
    <w:multiLevelType w:val="hybridMultilevel"/>
    <w:tmpl w:val="E4E00F14"/>
    <w:lvl w:ilvl="0" w:tplc="FFDE7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91417"/>
    <w:multiLevelType w:val="hybridMultilevel"/>
    <w:tmpl w:val="2EA00F72"/>
    <w:lvl w:ilvl="0" w:tplc="500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C3D87"/>
    <w:multiLevelType w:val="hybridMultilevel"/>
    <w:tmpl w:val="940C1C7E"/>
    <w:lvl w:ilvl="0" w:tplc="9AFC2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6489B"/>
    <w:multiLevelType w:val="hybridMultilevel"/>
    <w:tmpl w:val="38B85626"/>
    <w:lvl w:ilvl="0" w:tplc="D63E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E724E"/>
    <w:multiLevelType w:val="hybridMultilevel"/>
    <w:tmpl w:val="334EAFB6"/>
    <w:lvl w:ilvl="0" w:tplc="A6BC2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255FFB"/>
    <w:multiLevelType w:val="hybridMultilevel"/>
    <w:tmpl w:val="566CD8A2"/>
    <w:lvl w:ilvl="0" w:tplc="469AE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20"/>
  </w:num>
  <w:num w:numId="4">
    <w:abstractNumId w:val="7"/>
  </w:num>
  <w:num w:numId="5">
    <w:abstractNumId w:val="4"/>
  </w:num>
  <w:num w:numId="6">
    <w:abstractNumId w:val="21"/>
  </w:num>
  <w:num w:numId="7">
    <w:abstractNumId w:val="17"/>
  </w:num>
  <w:num w:numId="8">
    <w:abstractNumId w:val="13"/>
  </w:num>
  <w:num w:numId="9">
    <w:abstractNumId w:val="19"/>
  </w:num>
  <w:num w:numId="10">
    <w:abstractNumId w:val="1"/>
  </w:num>
  <w:num w:numId="11">
    <w:abstractNumId w:val="18"/>
  </w:num>
  <w:num w:numId="12">
    <w:abstractNumId w:val="22"/>
  </w:num>
  <w:num w:numId="13">
    <w:abstractNumId w:val="9"/>
  </w:num>
  <w:num w:numId="14">
    <w:abstractNumId w:val="16"/>
  </w:num>
  <w:num w:numId="15">
    <w:abstractNumId w:val="10"/>
  </w:num>
  <w:num w:numId="16">
    <w:abstractNumId w:val="14"/>
  </w:num>
  <w:num w:numId="17">
    <w:abstractNumId w:val="3"/>
  </w:num>
  <w:num w:numId="18">
    <w:abstractNumId w:val="0"/>
  </w:num>
  <w:num w:numId="19">
    <w:abstractNumId w:val="6"/>
  </w:num>
  <w:num w:numId="20">
    <w:abstractNumId w:val="8"/>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B5"/>
    <w:rsid w:val="000012E8"/>
    <w:rsid w:val="00002833"/>
    <w:rsid w:val="00002DD3"/>
    <w:rsid w:val="00005B1B"/>
    <w:rsid w:val="00006A0F"/>
    <w:rsid w:val="00006C45"/>
    <w:rsid w:val="00011FAA"/>
    <w:rsid w:val="00014170"/>
    <w:rsid w:val="00015448"/>
    <w:rsid w:val="0002374D"/>
    <w:rsid w:val="00026931"/>
    <w:rsid w:val="00026AFE"/>
    <w:rsid w:val="00026FE1"/>
    <w:rsid w:val="0003079F"/>
    <w:rsid w:val="000322C8"/>
    <w:rsid w:val="00032FB8"/>
    <w:rsid w:val="00035501"/>
    <w:rsid w:val="00035B35"/>
    <w:rsid w:val="0003706D"/>
    <w:rsid w:val="00040BEA"/>
    <w:rsid w:val="00041071"/>
    <w:rsid w:val="00042235"/>
    <w:rsid w:val="00044D45"/>
    <w:rsid w:val="0005375F"/>
    <w:rsid w:val="0005421B"/>
    <w:rsid w:val="00062B82"/>
    <w:rsid w:val="00064696"/>
    <w:rsid w:val="0007711B"/>
    <w:rsid w:val="0008026F"/>
    <w:rsid w:val="000909CC"/>
    <w:rsid w:val="00097A91"/>
    <w:rsid w:val="000A22D3"/>
    <w:rsid w:val="000B3BDB"/>
    <w:rsid w:val="000B59DD"/>
    <w:rsid w:val="000B5C97"/>
    <w:rsid w:val="000C1262"/>
    <w:rsid w:val="000C192F"/>
    <w:rsid w:val="000C20E4"/>
    <w:rsid w:val="000C5F55"/>
    <w:rsid w:val="000D0F02"/>
    <w:rsid w:val="000D10B1"/>
    <w:rsid w:val="000D2C58"/>
    <w:rsid w:val="000D33FA"/>
    <w:rsid w:val="000D7FC6"/>
    <w:rsid w:val="000F0592"/>
    <w:rsid w:val="000F3A00"/>
    <w:rsid w:val="001015DF"/>
    <w:rsid w:val="0010178C"/>
    <w:rsid w:val="00102C2B"/>
    <w:rsid w:val="0010382C"/>
    <w:rsid w:val="00104FF7"/>
    <w:rsid w:val="0011070A"/>
    <w:rsid w:val="0011324C"/>
    <w:rsid w:val="001136B0"/>
    <w:rsid w:val="00113AAE"/>
    <w:rsid w:val="00117494"/>
    <w:rsid w:val="00121AF3"/>
    <w:rsid w:val="001251FB"/>
    <w:rsid w:val="0013065C"/>
    <w:rsid w:val="00131C55"/>
    <w:rsid w:val="00142152"/>
    <w:rsid w:val="00142A94"/>
    <w:rsid w:val="001505E8"/>
    <w:rsid w:val="00151076"/>
    <w:rsid w:val="001513CB"/>
    <w:rsid w:val="001519AC"/>
    <w:rsid w:val="001622DB"/>
    <w:rsid w:val="00174ED9"/>
    <w:rsid w:val="001820A3"/>
    <w:rsid w:val="0018213B"/>
    <w:rsid w:val="0018230B"/>
    <w:rsid w:val="001834A0"/>
    <w:rsid w:val="00183DA6"/>
    <w:rsid w:val="001857F1"/>
    <w:rsid w:val="001969CB"/>
    <w:rsid w:val="001A107F"/>
    <w:rsid w:val="001A1D5B"/>
    <w:rsid w:val="001A5183"/>
    <w:rsid w:val="001A744B"/>
    <w:rsid w:val="001B1ABB"/>
    <w:rsid w:val="001B22C3"/>
    <w:rsid w:val="001B259C"/>
    <w:rsid w:val="001B3636"/>
    <w:rsid w:val="001B5B87"/>
    <w:rsid w:val="001C6A5D"/>
    <w:rsid w:val="001D259F"/>
    <w:rsid w:val="001D4452"/>
    <w:rsid w:val="001D58FC"/>
    <w:rsid w:val="001E0FFC"/>
    <w:rsid w:val="001E4598"/>
    <w:rsid w:val="001E6CF2"/>
    <w:rsid w:val="001E7731"/>
    <w:rsid w:val="001F6BE8"/>
    <w:rsid w:val="00200CFB"/>
    <w:rsid w:val="00201FCC"/>
    <w:rsid w:val="0020277E"/>
    <w:rsid w:val="00205B58"/>
    <w:rsid w:val="002103BB"/>
    <w:rsid w:val="00210F3F"/>
    <w:rsid w:val="00211F8D"/>
    <w:rsid w:val="00214B21"/>
    <w:rsid w:val="0021638E"/>
    <w:rsid w:val="00221464"/>
    <w:rsid w:val="00221A78"/>
    <w:rsid w:val="00222048"/>
    <w:rsid w:val="00223D11"/>
    <w:rsid w:val="00234C7B"/>
    <w:rsid w:val="00235AE7"/>
    <w:rsid w:val="002361D2"/>
    <w:rsid w:val="002376C5"/>
    <w:rsid w:val="0024161E"/>
    <w:rsid w:val="00247BD8"/>
    <w:rsid w:val="0025204F"/>
    <w:rsid w:val="0025537A"/>
    <w:rsid w:val="00256D6F"/>
    <w:rsid w:val="00265830"/>
    <w:rsid w:val="002674E8"/>
    <w:rsid w:val="0027140D"/>
    <w:rsid w:val="002742F6"/>
    <w:rsid w:val="00281ADC"/>
    <w:rsid w:val="00282D43"/>
    <w:rsid w:val="00283442"/>
    <w:rsid w:val="002930DA"/>
    <w:rsid w:val="00295526"/>
    <w:rsid w:val="00295648"/>
    <w:rsid w:val="002A2A2B"/>
    <w:rsid w:val="002A5358"/>
    <w:rsid w:val="002A5E7A"/>
    <w:rsid w:val="002B5B8C"/>
    <w:rsid w:val="002E262C"/>
    <w:rsid w:val="002E2D62"/>
    <w:rsid w:val="002E529A"/>
    <w:rsid w:val="002F0EC3"/>
    <w:rsid w:val="002F5830"/>
    <w:rsid w:val="00300BBC"/>
    <w:rsid w:val="0030445F"/>
    <w:rsid w:val="003044FC"/>
    <w:rsid w:val="00310D48"/>
    <w:rsid w:val="00311A2B"/>
    <w:rsid w:val="00311E31"/>
    <w:rsid w:val="00314633"/>
    <w:rsid w:val="00316B26"/>
    <w:rsid w:val="0031736D"/>
    <w:rsid w:val="00324174"/>
    <w:rsid w:val="0032574F"/>
    <w:rsid w:val="00326CCE"/>
    <w:rsid w:val="00332E04"/>
    <w:rsid w:val="00345BDF"/>
    <w:rsid w:val="003462E5"/>
    <w:rsid w:val="00346388"/>
    <w:rsid w:val="00346668"/>
    <w:rsid w:val="0034702F"/>
    <w:rsid w:val="003715DB"/>
    <w:rsid w:val="00372977"/>
    <w:rsid w:val="00372DFC"/>
    <w:rsid w:val="0037787E"/>
    <w:rsid w:val="0038003E"/>
    <w:rsid w:val="00380A9C"/>
    <w:rsid w:val="00393936"/>
    <w:rsid w:val="00395630"/>
    <w:rsid w:val="00396C85"/>
    <w:rsid w:val="003A3CB5"/>
    <w:rsid w:val="003B67B4"/>
    <w:rsid w:val="003C1942"/>
    <w:rsid w:val="003C77ED"/>
    <w:rsid w:val="003E1197"/>
    <w:rsid w:val="003F0187"/>
    <w:rsid w:val="003F43EC"/>
    <w:rsid w:val="003F4739"/>
    <w:rsid w:val="003F64CD"/>
    <w:rsid w:val="00401C8B"/>
    <w:rsid w:val="0041112B"/>
    <w:rsid w:val="00412BA4"/>
    <w:rsid w:val="00414368"/>
    <w:rsid w:val="0042275B"/>
    <w:rsid w:val="00423695"/>
    <w:rsid w:val="00424AC3"/>
    <w:rsid w:val="00425D06"/>
    <w:rsid w:val="0043210B"/>
    <w:rsid w:val="0043336D"/>
    <w:rsid w:val="00436627"/>
    <w:rsid w:val="00436E44"/>
    <w:rsid w:val="0043783B"/>
    <w:rsid w:val="004400C6"/>
    <w:rsid w:val="0044060C"/>
    <w:rsid w:val="00440952"/>
    <w:rsid w:val="00443BEF"/>
    <w:rsid w:val="004453D8"/>
    <w:rsid w:val="004507E7"/>
    <w:rsid w:val="00452531"/>
    <w:rsid w:val="0045303A"/>
    <w:rsid w:val="004571EE"/>
    <w:rsid w:val="00467289"/>
    <w:rsid w:val="00470A52"/>
    <w:rsid w:val="0047322A"/>
    <w:rsid w:val="004755CA"/>
    <w:rsid w:val="00476BF2"/>
    <w:rsid w:val="00477F43"/>
    <w:rsid w:val="00481FE8"/>
    <w:rsid w:val="0048272E"/>
    <w:rsid w:val="00482EF2"/>
    <w:rsid w:val="00483F71"/>
    <w:rsid w:val="004847DC"/>
    <w:rsid w:val="004852DA"/>
    <w:rsid w:val="004878DF"/>
    <w:rsid w:val="004A65AD"/>
    <w:rsid w:val="004B1833"/>
    <w:rsid w:val="004B3D0B"/>
    <w:rsid w:val="004B6DE2"/>
    <w:rsid w:val="004B72FB"/>
    <w:rsid w:val="004C2D85"/>
    <w:rsid w:val="004C5A48"/>
    <w:rsid w:val="004D33B9"/>
    <w:rsid w:val="004D7891"/>
    <w:rsid w:val="004E03B7"/>
    <w:rsid w:val="004E0F8C"/>
    <w:rsid w:val="004E4DB7"/>
    <w:rsid w:val="004F62A1"/>
    <w:rsid w:val="004F6EE7"/>
    <w:rsid w:val="004F79A8"/>
    <w:rsid w:val="005000CE"/>
    <w:rsid w:val="00504D85"/>
    <w:rsid w:val="00505921"/>
    <w:rsid w:val="00524AA3"/>
    <w:rsid w:val="0052525A"/>
    <w:rsid w:val="005332EA"/>
    <w:rsid w:val="0053765A"/>
    <w:rsid w:val="005436F3"/>
    <w:rsid w:val="00550293"/>
    <w:rsid w:val="00552B15"/>
    <w:rsid w:val="00556D9B"/>
    <w:rsid w:val="0056084C"/>
    <w:rsid w:val="00560C63"/>
    <w:rsid w:val="005611B2"/>
    <w:rsid w:val="00566540"/>
    <w:rsid w:val="005679EF"/>
    <w:rsid w:val="00571656"/>
    <w:rsid w:val="0057280F"/>
    <w:rsid w:val="00574165"/>
    <w:rsid w:val="00575C5B"/>
    <w:rsid w:val="00576DE3"/>
    <w:rsid w:val="00581A92"/>
    <w:rsid w:val="00585AC3"/>
    <w:rsid w:val="0058615E"/>
    <w:rsid w:val="00590F0F"/>
    <w:rsid w:val="00591C2C"/>
    <w:rsid w:val="005A0A96"/>
    <w:rsid w:val="005A572A"/>
    <w:rsid w:val="005B5C0A"/>
    <w:rsid w:val="005C3D9D"/>
    <w:rsid w:val="005C430D"/>
    <w:rsid w:val="005D0848"/>
    <w:rsid w:val="005D4542"/>
    <w:rsid w:val="005D543B"/>
    <w:rsid w:val="005D5F7D"/>
    <w:rsid w:val="005D6597"/>
    <w:rsid w:val="005D7115"/>
    <w:rsid w:val="005D74BD"/>
    <w:rsid w:val="005E2BBD"/>
    <w:rsid w:val="005E664B"/>
    <w:rsid w:val="005E6807"/>
    <w:rsid w:val="005F2BE6"/>
    <w:rsid w:val="005F4840"/>
    <w:rsid w:val="005F54AD"/>
    <w:rsid w:val="005F589B"/>
    <w:rsid w:val="00603BC7"/>
    <w:rsid w:val="006041EB"/>
    <w:rsid w:val="00606520"/>
    <w:rsid w:val="0061299B"/>
    <w:rsid w:val="0061626A"/>
    <w:rsid w:val="00616A85"/>
    <w:rsid w:val="00625DA4"/>
    <w:rsid w:val="00627397"/>
    <w:rsid w:val="006303F8"/>
    <w:rsid w:val="00630ABF"/>
    <w:rsid w:val="00633758"/>
    <w:rsid w:val="00635788"/>
    <w:rsid w:val="0063718D"/>
    <w:rsid w:val="006372C8"/>
    <w:rsid w:val="00641AFD"/>
    <w:rsid w:val="0064275C"/>
    <w:rsid w:val="006430F0"/>
    <w:rsid w:val="0064358A"/>
    <w:rsid w:val="0064737A"/>
    <w:rsid w:val="00653E04"/>
    <w:rsid w:val="00654BDE"/>
    <w:rsid w:val="006556CF"/>
    <w:rsid w:val="006558D6"/>
    <w:rsid w:val="0066077C"/>
    <w:rsid w:val="00660A61"/>
    <w:rsid w:val="0066135C"/>
    <w:rsid w:val="00665976"/>
    <w:rsid w:val="00666F44"/>
    <w:rsid w:val="006753B2"/>
    <w:rsid w:val="00675A0C"/>
    <w:rsid w:val="006825C5"/>
    <w:rsid w:val="00683F65"/>
    <w:rsid w:val="00684025"/>
    <w:rsid w:val="00684A53"/>
    <w:rsid w:val="00687E50"/>
    <w:rsid w:val="0069385C"/>
    <w:rsid w:val="00694980"/>
    <w:rsid w:val="00695B1D"/>
    <w:rsid w:val="006B0238"/>
    <w:rsid w:val="006B20E9"/>
    <w:rsid w:val="006B256E"/>
    <w:rsid w:val="006B2A73"/>
    <w:rsid w:val="006B7CAB"/>
    <w:rsid w:val="006C1B27"/>
    <w:rsid w:val="006C41BB"/>
    <w:rsid w:val="006C6E57"/>
    <w:rsid w:val="006D00F4"/>
    <w:rsid w:val="006E01C4"/>
    <w:rsid w:val="006E557E"/>
    <w:rsid w:val="006F2B4A"/>
    <w:rsid w:val="006F4AFE"/>
    <w:rsid w:val="00706744"/>
    <w:rsid w:val="00711C12"/>
    <w:rsid w:val="00713606"/>
    <w:rsid w:val="00721A34"/>
    <w:rsid w:val="007273B3"/>
    <w:rsid w:val="0073111C"/>
    <w:rsid w:val="00736793"/>
    <w:rsid w:val="00736AB1"/>
    <w:rsid w:val="00743C61"/>
    <w:rsid w:val="00746D46"/>
    <w:rsid w:val="007475E2"/>
    <w:rsid w:val="0075072E"/>
    <w:rsid w:val="0075114C"/>
    <w:rsid w:val="007520B3"/>
    <w:rsid w:val="00755B48"/>
    <w:rsid w:val="00763F85"/>
    <w:rsid w:val="00767B10"/>
    <w:rsid w:val="00767C1D"/>
    <w:rsid w:val="00771EC6"/>
    <w:rsid w:val="007811C6"/>
    <w:rsid w:val="007878B6"/>
    <w:rsid w:val="007A047F"/>
    <w:rsid w:val="007A4131"/>
    <w:rsid w:val="007A47C6"/>
    <w:rsid w:val="007A543C"/>
    <w:rsid w:val="007B2E43"/>
    <w:rsid w:val="007C1BAB"/>
    <w:rsid w:val="007C4521"/>
    <w:rsid w:val="007D27DD"/>
    <w:rsid w:val="007D3504"/>
    <w:rsid w:val="007E2900"/>
    <w:rsid w:val="007E5F75"/>
    <w:rsid w:val="007F3EEC"/>
    <w:rsid w:val="00800412"/>
    <w:rsid w:val="0080087E"/>
    <w:rsid w:val="00802B58"/>
    <w:rsid w:val="00804889"/>
    <w:rsid w:val="00812ADE"/>
    <w:rsid w:val="0081419A"/>
    <w:rsid w:val="00817503"/>
    <w:rsid w:val="00821522"/>
    <w:rsid w:val="00821A37"/>
    <w:rsid w:val="008222CD"/>
    <w:rsid w:val="008225C3"/>
    <w:rsid w:val="00822C65"/>
    <w:rsid w:val="00830462"/>
    <w:rsid w:val="00830A28"/>
    <w:rsid w:val="008315BA"/>
    <w:rsid w:val="00840B04"/>
    <w:rsid w:val="00840B0F"/>
    <w:rsid w:val="00841976"/>
    <w:rsid w:val="00842805"/>
    <w:rsid w:val="00843873"/>
    <w:rsid w:val="00844E75"/>
    <w:rsid w:val="00846CBB"/>
    <w:rsid w:val="00846F7A"/>
    <w:rsid w:val="00854A72"/>
    <w:rsid w:val="0085722B"/>
    <w:rsid w:val="008577C5"/>
    <w:rsid w:val="00860876"/>
    <w:rsid w:val="008667DD"/>
    <w:rsid w:val="008711DF"/>
    <w:rsid w:val="0087217B"/>
    <w:rsid w:val="008753DF"/>
    <w:rsid w:val="00877805"/>
    <w:rsid w:val="00880F46"/>
    <w:rsid w:val="00885F87"/>
    <w:rsid w:val="008862ED"/>
    <w:rsid w:val="00891E08"/>
    <w:rsid w:val="00894253"/>
    <w:rsid w:val="008B226D"/>
    <w:rsid w:val="008B2516"/>
    <w:rsid w:val="008B2A4E"/>
    <w:rsid w:val="008B7D7C"/>
    <w:rsid w:val="008C0221"/>
    <w:rsid w:val="008C13F3"/>
    <w:rsid w:val="008C7145"/>
    <w:rsid w:val="008D09AC"/>
    <w:rsid w:val="008D13BA"/>
    <w:rsid w:val="008D4C3A"/>
    <w:rsid w:val="008D6930"/>
    <w:rsid w:val="008D6AAC"/>
    <w:rsid w:val="008D7E08"/>
    <w:rsid w:val="008E1F6C"/>
    <w:rsid w:val="008E4500"/>
    <w:rsid w:val="008F1241"/>
    <w:rsid w:val="008F26C1"/>
    <w:rsid w:val="008F2BC6"/>
    <w:rsid w:val="009025A8"/>
    <w:rsid w:val="00902C75"/>
    <w:rsid w:val="00904D5E"/>
    <w:rsid w:val="00911CE6"/>
    <w:rsid w:val="00912191"/>
    <w:rsid w:val="009156B9"/>
    <w:rsid w:val="0093790C"/>
    <w:rsid w:val="0094170C"/>
    <w:rsid w:val="00944FB6"/>
    <w:rsid w:val="00946047"/>
    <w:rsid w:val="009518DE"/>
    <w:rsid w:val="00955921"/>
    <w:rsid w:val="009612A3"/>
    <w:rsid w:val="00962FD1"/>
    <w:rsid w:val="00963284"/>
    <w:rsid w:val="009637BC"/>
    <w:rsid w:val="009657F3"/>
    <w:rsid w:val="00972246"/>
    <w:rsid w:val="0097696D"/>
    <w:rsid w:val="009801E4"/>
    <w:rsid w:val="00984684"/>
    <w:rsid w:val="0098551B"/>
    <w:rsid w:val="00991471"/>
    <w:rsid w:val="00991EB0"/>
    <w:rsid w:val="009937FF"/>
    <w:rsid w:val="00995E79"/>
    <w:rsid w:val="009A7142"/>
    <w:rsid w:val="009A7EE9"/>
    <w:rsid w:val="009B2116"/>
    <w:rsid w:val="009C282B"/>
    <w:rsid w:val="009C2A19"/>
    <w:rsid w:val="009C4E98"/>
    <w:rsid w:val="009D1A9B"/>
    <w:rsid w:val="009D2994"/>
    <w:rsid w:val="009D4EE0"/>
    <w:rsid w:val="009D5F2B"/>
    <w:rsid w:val="009E099C"/>
    <w:rsid w:val="009E1CF5"/>
    <w:rsid w:val="009E3A29"/>
    <w:rsid w:val="009E3EFC"/>
    <w:rsid w:val="009E4385"/>
    <w:rsid w:val="009E4425"/>
    <w:rsid w:val="009F2C43"/>
    <w:rsid w:val="009F2DDA"/>
    <w:rsid w:val="009F4F26"/>
    <w:rsid w:val="00A01ED5"/>
    <w:rsid w:val="00A042C2"/>
    <w:rsid w:val="00A05222"/>
    <w:rsid w:val="00A12C03"/>
    <w:rsid w:val="00A21C21"/>
    <w:rsid w:val="00A26CC7"/>
    <w:rsid w:val="00A31886"/>
    <w:rsid w:val="00A374EE"/>
    <w:rsid w:val="00A416D3"/>
    <w:rsid w:val="00A41B22"/>
    <w:rsid w:val="00A451CC"/>
    <w:rsid w:val="00A46751"/>
    <w:rsid w:val="00A47122"/>
    <w:rsid w:val="00A50E85"/>
    <w:rsid w:val="00A513D4"/>
    <w:rsid w:val="00A542B5"/>
    <w:rsid w:val="00A554C6"/>
    <w:rsid w:val="00A62A3E"/>
    <w:rsid w:val="00A634F2"/>
    <w:rsid w:val="00A63813"/>
    <w:rsid w:val="00A65BA4"/>
    <w:rsid w:val="00A7081A"/>
    <w:rsid w:val="00A725CD"/>
    <w:rsid w:val="00A725F7"/>
    <w:rsid w:val="00A72E5C"/>
    <w:rsid w:val="00A731FA"/>
    <w:rsid w:val="00A80270"/>
    <w:rsid w:val="00A802BD"/>
    <w:rsid w:val="00A8213D"/>
    <w:rsid w:val="00A831D9"/>
    <w:rsid w:val="00A85F0A"/>
    <w:rsid w:val="00A8778A"/>
    <w:rsid w:val="00A91E64"/>
    <w:rsid w:val="00A97008"/>
    <w:rsid w:val="00A97C1B"/>
    <w:rsid w:val="00AA3BF2"/>
    <w:rsid w:val="00AB2424"/>
    <w:rsid w:val="00AB297E"/>
    <w:rsid w:val="00AB56FC"/>
    <w:rsid w:val="00AC2FA9"/>
    <w:rsid w:val="00AC329F"/>
    <w:rsid w:val="00AC4355"/>
    <w:rsid w:val="00AC6390"/>
    <w:rsid w:val="00AD237E"/>
    <w:rsid w:val="00AD504C"/>
    <w:rsid w:val="00AD76E5"/>
    <w:rsid w:val="00AE3544"/>
    <w:rsid w:val="00AE5D9A"/>
    <w:rsid w:val="00B0083E"/>
    <w:rsid w:val="00B00E23"/>
    <w:rsid w:val="00B0140E"/>
    <w:rsid w:val="00B024A5"/>
    <w:rsid w:val="00B03649"/>
    <w:rsid w:val="00B079AD"/>
    <w:rsid w:val="00B07EFE"/>
    <w:rsid w:val="00B17493"/>
    <w:rsid w:val="00B23360"/>
    <w:rsid w:val="00B263B1"/>
    <w:rsid w:val="00B40446"/>
    <w:rsid w:val="00B47732"/>
    <w:rsid w:val="00B53D47"/>
    <w:rsid w:val="00B5651C"/>
    <w:rsid w:val="00B571AE"/>
    <w:rsid w:val="00B605B4"/>
    <w:rsid w:val="00B620C2"/>
    <w:rsid w:val="00B635F5"/>
    <w:rsid w:val="00B64BA0"/>
    <w:rsid w:val="00B71CA1"/>
    <w:rsid w:val="00B72C6C"/>
    <w:rsid w:val="00B7333C"/>
    <w:rsid w:val="00B76B8E"/>
    <w:rsid w:val="00B82A38"/>
    <w:rsid w:val="00B84C81"/>
    <w:rsid w:val="00B9049B"/>
    <w:rsid w:val="00B91FFA"/>
    <w:rsid w:val="00B93E7A"/>
    <w:rsid w:val="00B95724"/>
    <w:rsid w:val="00BA2B51"/>
    <w:rsid w:val="00BA3EF5"/>
    <w:rsid w:val="00BB2252"/>
    <w:rsid w:val="00BC3D19"/>
    <w:rsid w:val="00BC4A3D"/>
    <w:rsid w:val="00BC5C50"/>
    <w:rsid w:val="00BD3767"/>
    <w:rsid w:val="00BD4C1F"/>
    <w:rsid w:val="00BD54CE"/>
    <w:rsid w:val="00BD64D8"/>
    <w:rsid w:val="00BE2A6B"/>
    <w:rsid w:val="00BE789D"/>
    <w:rsid w:val="00BF1A9E"/>
    <w:rsid w:val="00C035F1"/>
    <w:rsid w:val="00C10D08"/>
    <w:rsid w:val="00C15A42"/>
    <w:rsid w:val="00C21200"/>
    <w:rsid w:val="00C30F17"/>
    <w:rsid w:val="00C44C59"/>
    <w:rsid w:val="00C453D4"/>
    <w:rsid w:val="00C4673E"/>
    <w:rsid w:val="00C46B4F"/>
    <w:rsid w:val="00C55AFE"/>
    <w:rsid w:val="00C56F29"/>
    <w:rsid w:val="00C60C46"/>
    <w:rsid w:val="00C6280F"/>
    <w:rsid w:val="00C62E52"/>
    <w:rsid w:val="00C70020"/>
    <w:rsid w:val="00C805FF"/>
    <w:rsid w:val="00C85E0A"/>
    <w:rsid w:val="00C92411"/>
    <w:rsid w:val="00C9502F"/>
    <w:rsid w:val="00C9578E"/>
    <w:rsid w:val="00C96226"/>
    <w:rsid w:val="00CA5314"/>
    <w:rsid w:val="00CA5CE1"/>
    <w:rsid w:val="00CB76D5"/>
    <w:rsid w:val="00CC4B53"/>
    <w:rsid w:val="00CD0121"/>
    <w:rsid w:val="00CD05D4"/>
    <w:rsid w:val="00CD2215"/>
    <w:rsid w:val="00CD3BA8"/>
    <w:rsid w:val="00CD7F71"/>
    <w:rsid w:val="00CE778C"/>
    <w:rsid w:val="00CE7E9F"/>
    <w:rsid w:val="00CF0C0D"/>
    <w:rsid w:val="00CF1695"/>
    <w:rsid w:val="00CF6D68"/>
    <w:rsid w:val="00D0618F"/>
    <w:rsid w:val="00D10CC2"/>
    <w:rsid w:val="00D119B1"/>
    <w:rsid w:val="00D136B6"/>
    <w:rsid w:val="00D14C76"/>
    <w:rsid w:val="00D21220"/>
    <w:rsid w:val="00D22029"/>
    <w:rsid w:val="00D24E5C"/>
    <w:rsid w:val="00D27911"/>
    <w:rsid w:val="00D30EFA"/>
    <w:rsid w:val="00D327C1"/>
    <w:rsid w:val="00D406C8"/>
    <w:rsid w:val="00D4078B"/>
    <w:rsid w:val="00D4301E"/>
    <w:rsid w:val="00D44189"/>
    <w:rsid w:val="00D62E66"/>
    <w:rsid w:val="00D63691"/>
    <w:rsid w:val="00D64BCC"/>
    <w:rsid w:val="00D64C2F"/>
    <w:rsid w:val="00D733D2"/>
    <w:rsid w:val="00D74CA5"/>
    <w:rsid w:val="00D76776"/>
    <w:rsid w:val="00D76AC6"/>
    <w:rsid w:val="00D80836"/>
    <w:rsid w:val="00D84A3B"/>
    <w:rsid w:val="00D863AE"/>
    <w:rsid w:val="00D91FDE"/>
    <w:rsid w:val="00DA10FA"/>
    <w:rsid w:val="00DA6F61"/>
    <w:rsid w:val="00DB6E93"/>
    <w:rsid w:val="00DC15C1"/>
    <w:rsid w:val="00DC2567"/>
    <w:rsid w:val="00DC406E"/>
    <w:rsid w:val="00DC42A6"/>
    <w:rsid w:val="00DC7DF6"/>
    <w:rsid w:val="00DD06B7"/>
    <w:rsid w:val="00DD146E"/>
    <w:rsid w:val="00DD1973"/>
    <w:rsid w:val="00DD3249"/>
    <w:rsid w:val="00DE1987"/>
    <w:rsid w:val="00DE33A7"/>
    <w:rsid w:val="00DF1673"/>
    <w:rsid w:val="00DF1927"/>
    <w:rsid w:val="00DF4728"/>
    <w:rsid w:val="00DF55B1"/>
    <w:rsid w:val="00DF59FD"/>
    <w:rsid w:val="00DF5F14"/>
    <w:rsid w:val="00DF6D02"/>
    <w:rsid w:val="00E00408"/>
    <w:rsid w:val="00E07C8B"/>
    <w:rsid w:val="00E12D3B"/>
    <w:rsid w:val="00E222AB"/>
    <w:rsid w:val="00E25591"/>
    <w:rsid w:val="00E25E54"/>
    <w:rsid w:val="00E310F6"/>
    <w:rsid w:val="00E314AE"/>
    <w:rsid w:val="00E352F9"/>
    <w:rsid w:val="00E35C9B"/>
    <w:rsid w:val="00E35ECE"/>
    <w:rsid w:val="00E4071F"/>
    <w:rsid w:val="00E43BFF"/>
    <w:rsid w:val="00E535E3"/>
    <w:rsid w:val="00E622F5"/>
    <w:rsid w:val="00E6343E"/>
    <w:rsid w:val="00E64844"/>
    <w:rsid w:val="00E65260"/>
    <w:rsid w:val="00E669B3"/>
    <w:rsid w:val="00E67AF8"/>
    <w:rsid w:val="00E75191"/>
    <w:rsid w:val="00E81653"/>
    <w:rsid w:val="00E81925"/>
    <w:rsid w:val="00E8298C"/>
    <w:rsid w:val="00E83E14"/>
    <w:rsid w:val="00E85309"/>
    <w:rsid w:val="00E864B7"/>
    <w:rsid w:val="00E867AD"/>
    <w:rsid w:val="00E918D9"/>
    <w:rsid w:val="00E94146"/>
    <w:rsid w:val="00EA4CA2"/>
    <w:rsid w:val="00EB696A"/>
    <w:rsid w:val="00ED3297"/>
    <w:rsid w:val="00ED3BF4"/>
    <w:rsid w:val="00EE09B6"/>
    <w:rsid w:val="00EE6576"/>
    <w:rsid w:val="00EE6DA5"/>
    <w:rsid w:val="00EF182E"/>
    <w:rsid w:val="00EF1D09"/>
    <w:rsid w:val="00EF32FD"/>
    <w:rsid w:val="00EF38D1"/>
    <w:rsid w:val="00EF442C"/>
    <w:rsid w:val="00F005D1"/>
    <w:rsid w:val="00F02366"/>
    <w:rsid w:val="00F02808"/>
    <w:rsid w:val="00F033C5"/>
    <w:rsid w:val="00F04885"/>
    <w:rsid w:val="00F14962"/>
    <w:rsid w:val="00F16496"/>
    <w:rsid w:val="00F23BE0"/>
    <w:rsid w:val="00F27CBD"/>
    <w:rsid w:val="00F42FB8"/>
    <w:rsid w:val="00F45928"/>
    <w:rsid w:val="00F52321"/>
    <w:rsid w:val="00F52D4E"/>
    <w:rsid w:val="00F54A80"/>
    <w:rsid w:val="00F62448"/>
    <w:rsid w:val="00F67A0A"/>
    <w:rsid w:val="00F709B5"/>
    <w:rsid w:val="00F741DE"/>
    <w:rsid w:val="00F76F97"/>
    <w:rsid w:val="00F77A42"/>
    <w:rsid w:val="00F83B9D"/>
    <w:rsid w:val="00F84E7F"/>
    <w:rsid w:val="00F852B8"/>
    <w:rsid w:val="00F86DCC"/>
    <w:rsid w:val="00F9512E"/>
    <w:rsid w:val="00FA39A7"/>
    <w:rsid w:val="00FA6C81"/>
    <w:rsid w:val="00FB4E17"/>
    <w:rsid w:val="00FB5340"/>
    <w:rsid w:val="00FB55FB"/>
    <w:rsid w:val="00FC0D93"/>
    <w:rsid w:val="00FC23EC"/>
    <w:rsid w:val="00FC69E6"/>
    <w:rsid w:val="00FC7D51"/>
    <w:rsid w:val="00FD7D90"/>
    <w:rsid w:val="00FE79BB"/>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99AB"/>
  <w15:chartTrackingRefBased/>
  <w15:docId w15:val="{369BE83F-5474-4C0E-B922-F48A5483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B5"/>
  </w:style>
  <w:style w:type="paragraph" w:styleId="Heading3">
    <w:name w:val="heading 3"/>
    <w:basedOn w:val="Normal"/>
    <w:next w:val="Normal"/>
    <w:link w:val="Heading3Char"/>
    <w:uiPriority w:val="9"/>
    <w:unhideWhenUsed/>
    <w:qFormat/>
    <w:rsid w:val="005376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B5"/>
    <w:rPr>
      <w:color w:val="0563C1" w:themeColor="hyperlink"/>
      <w:u w:val="single"/>
    </w:rPr>
  </w:style>
  <w:style w:type="paragraph" w:styleId="NoSpacing">
    <w:name w:val="No Spacing"/>
    <w:uiPriority w:val="1"/>
    <w:qFormat/>
    <w:rsid w:val="00F709B5"/>
    <w:pPr>
      <w:spacing w:after="0" w:line="240" w:lineRule="auto"/>
    </w:pPr>
  </w:style>
  <w:style w:type="paragraph" w:styleId="Footer">
    <w:name w:val="footer"/>
    <w:basedOn w:val="Normal"/>
    <w:link w:val="FooterChar"/>
    <w:uiPriority w:val="99"/>
    <w:unhideWhenUsed/>
    <w:rsid w:val="00F7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9B5"/>
  </w:style>
  <w:style w:type="character" w:styleId="UnresolvedMention">
    <w:name w:val="Unresolved Mention"/>
    <w:basedOn w:val="DefaultParagraphFont"/>
    <w:uiPriority w:val="99"/>
    <w:semiHidden/>
    <w:unhideWhenUsed/>
    <w:rsid w:val="00F709B5"/>
    <w:rPr>
      <w:color w:val="605E5C"/>
      <w:shd w:val="clear" w:color="auto" w:fill="E1DFDD"/>
    </w:rPr>
  </w:style>
  <w:style w:type="paragraph" w:styleId="ListParagraph">
    <w:name w:val="List Paragraph"/>
    <w:basedOn w:val="Normal"/>
    <w:uiPriority w:val="34"/>
    <w:qFormat/>
    <w:rsid w:val="005D0848"/>
    <w:pPr>
      <w:ind w:left="720"/>
      <w:contextualSpacing/>
    </w:pPr>
  </w:style>
  <w:style w:type="character" w:styleId="CommentReference">
    <w:name w:val="annotation reference"/>
    <w:basedOn w:val="DefaultParagraphFont"/>
    <w:uiPriority w:val="99"/>
    <w:semiHidden/>
    <w:unhideWhenUsed/>
    <w:rsid w:val="004B1833"/>
    <w:rPr>
      <w:sz w:val="16"/>
      <w:szCs w:val="16"/>
    </w:rPr>
  </w:style>
  <w:style w:type="paragraph" w:styleId="CommentText">
    <w:name w:val="annotation text"/>
    <w:basedOn w:val="Normal"/>
    <w:link w:val="CommentTextChar"/>
    <w:uiPriority w:val="99"/>
    <w:semiHidden/>
    <w:unhideWhenUsed/>
    <w:rsid w:val="004B1833"/>
    <w:pPr>
      <w:spacing w:line="240" w:lineRule="auto"/>
    </w:pPr>
    <w:rPr>
      <w:sz w:val="20"/>
      <w:szCs w:val="20"/>
    </w:rPr>
  </w:style>
  <w:style w:type="character" w:customStyle="1" w:styleId="CommentTextChar">
    <w:name w:val="Comment Text Char"/>
    <w:basedOn w:val="DefaultParagraphFont"/>
    <w:link w:val="CommentText"/>
    <w:uiPriority w:val="99"/>
    <w:semiHidden/>
    <w:rsid w:val="004B1833"/>
    <w:rPr>
      <w:sz w:val="20"/>
      <w:szCs w:val="20"/>
    </w:rPr>
  </w:style>
  <w:style w:type="paragraph" w:styleId="CommentSubject">
    <w:name w:val="annotation subject"/>
    <w:basedOn w:val="CommentText"/>
    <w:next w:val="CommentText"/>
    <w:link w:val="CommentSubjectChar"/>
    <w:uiPriority w:val="99"/>
    <w:semiHidden/>
    <w:unhideWhenUsed/>
    <w:rsid w:val="004B1833"/>
    <w:rPr>
      <w:b/>
      <w:bCs/>
    </w:rPr>
  </w:style>
  <w:style w:type="character" w:customStyle="1" w:styleId="CommentSubjectChar">
    <w:name w:val="Comment Subject Char"/>
    <w:basedOn w:val="CommentTextChar"/>
    <w:link w:val="CommentSubject"/>
    <w:uiPriority w:val="99"/>
    <w:semiHidden/>
    <w:rsid w:val="004B1833"/>
    <w:rPr>
      <w:b/>
      <w:bCs/>
      <w:sz w:val="20"/>
      <w:szCs w:val="20"/>
    </w:rPr>
  </w:style>
  <w:style w:type="paragraph" w:styleId="BalloonText">
    <w:name w:val="Balloon Text"/>
    <w:basedOn w:val="Normal"/>
    <w:link w:val="BalloonTextChar"/>
    <w:uiPriority w:val="99"/>
    <w:semiHidden/>
    <w:unhideWhenUsed/>
    <w:rsid w:val="004B1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833"/>
    <w:rPr>
      <w:rFonts w:ascii="Segoe UI" w:hAnsi="Segoe UI" w:cs="Segoe UI"/>
      <w:sz w:val="18"/>
      <w:szCs w:val="18"/>
    </w:rPr>
  </w:style>
  <w:style w:type="character" w:customStyle="1" w:styleId="cosearchdetaillevel1">
    <w:name w:val="co_search_detaillevel_1"/>
    <w:basedOn w:val="DefaultParagraphFont"/>
    <w:rsid w:val="00EF32FD"/>
  </w:style>
  <w:style w:type="character" w:styleId="Strong">
    <w:name w:val="Strong"/>
    <w:basedOn w:val="DefaultParagraphFont"/>
    <w:uiPriority w:val="22"/>
    <w:qFormat/>
    <w:rsid w:val="00443BEF"/>
    <w:rPr>
      <w:b/>
      <w:bCs/>
    </w:rPr>
  </w:style>
  <w:style w:type="character" w:customStyle="1" w:styleId="markedcontent">
    <w:name w:val="markedcontent"/>
    <w:basedOn w:val="DefaultParagraphFont"/>
    <w:rsid w:val="0064358A"/>
  </w:style>
  <w:style w:type="paragraph" w:styleId="NormalWeb">
    <w:name w:val="Normal (Web)"/>
    <w:basedOn w:val="Normal"/>
    <w:uiPriority w:val="99"/>
    <w:unhideWhenUsed/>
    <w:rsid w:val="0005375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041EB"/>
    <w:rPr>
      <w:color w:val="954F72" w:themeColor="followedHyperlink"/>
      <w:u w:val="single"/>
    </w:rPr>
  </w:style>
  <w:style w:type="character" w:customStyle="1" w:styleId="Heading3Char">
    <w:name w:val="Heading 3 Char"/>
    <w:basedOn w:val="DefaultParagraphFont"/>
    <w:link w:val="Heading3"/>
    <w:uiPriority w:val="9"/>
    <w:rsid w:val="0053765A"/>
    <w:rPr>
      <w:rFonts w:asciiTheme="majorHAnsi" w:eastAsiaTheme="majorEastAsia" w:hAnsiTheme="majorHAnsi" w:cstheme="majorBidi"/>
      <w:color w:val="1F3763" w:themeColor="accent1" w:themeShade="7F"/>
      <w:sz w:val="24"/>
      <w:szCs w:val="24"/>
    </w:rPr>
  </w:style>
  <w:style w:type="character" w:customStyle="1" w:styleId="highlight">
    <w:name w:val="highlight"/>
    <w:basedOn w:val="DefaultParagraphFont"/>
    <w:rsid w:val="0044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081">
      <w:bodyDiv w:val="1"/>
      <w:marLeft w:val="0"/>
      <w:marRight w:val="0"/>
      <w:marTop w:val="0"/>
      <w:marBottom w:val="0"/>
      <w:divBdr>
        <w:top w:val="none" w:sz="0" w:space="0" w:color="auto"/>
        <w:left w:val="none" w:sz="0" w:space="0" w:color="auto"/>
        <w:bottom w:val="none" w:sz="0" w:space="0" w:color="auto"/>
        <w:right w:val="none" w:sz="0" w:space="0" w:color="auto"/>
      </w:divBdr>
    </w:div>
    <w:div w:id="78252682">
      <w:bodyDiv w:val="1"/>
      <w:marLeft w:val="0"/>
      <w:marRight w:val="0"/>
      <w:marTop w:val="0"/>
      <w:marBottom w:val="0"/>
      <w:divBdr>
        <w:top w:val="none" w:sz="0" w:space="0" w:color="auto"/>
        <w:left w:val="none" w:sz="0" w:space="0" w:color="auto"/>
        <w:bottom w:val="none" w:sz="0" w:space="0" w:color="auto"/>
        <w:right w:val="none" w:sz="0" w:space="0" w:color="auto"/>
      </w:divBdr>
    </w:div>
    <w:div w:id="1210262041">
      <w:bodyDiv w:val="1"/>
      <w:marLeft w:val="0"/>
      <w:marRight w:val="0"/>
      <w:marTop w:val="0"/>
      <w:marBottom w:val="0"/>
      <w:divBdr>
        <w:top w:val="none" w:sz="0" w:space="0" w:color="auto"/>
        <w:left w:val="none" w:sz="0" w:space="0" w:color="auto"/>
        <w:bottom w:val="none" w:sz="0" w:space="0" w:color="auto"/>
        <w:right w:val="none" w:sz="0" w:space="0" w:color="auto"/>
      </w:divBdr>
    </w:div>
    <w:div w:id="1622417206">
      <w:bodyDiv w:val="1"/>
      <w:marLeft w:val="0"/>
      <w:marRight w:val="0"/>
      <w:marTop w:val="0"/>
      <w:marBottom w:val="0"/>
      <w:divBdr>
        <w:top w:val="none" w:sz="0" w:space="0" w:color="auto"/>
        <w:left w:val="none" w:sz="0" w:space="0" w:color="auto"/>
        <w:bottom w:val="none" w:sz="0" w:space="0" w:color="auto"/>
        <w:right w:val="none" w:sz="0" w:space="0" w:color="auto"/>
      </w:divBdr>
    </w:div>
    <w:div w:id="1661543082">
      <w:bodyDiv w:val="1"/>
      <w:marLeft w:val="0"/>
      <w:marRight w:val="0"/>
      <w:marTop w:val="0"/>
      <w:marBottom w:val="0"/>
      <w:divBdr>
        <w:top w:val="none" w:sz="0" w:space="0" w:color="auto"/>
        <w:left w:val="none" w:sz="0" w:space="0" w:color="auto"/>
        <w:bottom w:val="none" w:sz="0" w:space="0" w:color="auto"/>
        <w:right w:val="none" w:sz="0" w:space="0" w:color="auto"/>
      </w:divBdr>
      <w:divsChild>
        <w:div w:id="511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3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xon@sog.unc.edu" TargetMode="External"/><Relationship Id="rId13" Type="http://schemas.openxmlformats.org/officeDocument/2006/relationships/hyperlink" Target="https://www.law.cornell.edu/uscode/text/18/9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4.uscourts.gov/opinions/192250.P.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4.uscourts.gov/opinions/194755.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4.uscourts.gov/opinions/204105.P.pdf" TargetMode="External"/><Relationship Id="rId4" Type="http://schemas.openxmlformats.org/officeDocument/2006/relationships/settings" Target="settings.xml"/><Relationship Id="rId9" Type="http://schemas.openxmlformats.org/officeDocument/2006/relationships/hyperlink" Target="https://www.ca4.uscourts.gov/opinions/201547.P.pdf" TargetMode="External"/><Relationship Id="rId14" Type="http://schemas.openxmlformats.org/officeDocument/2006/relationships/hyperlink" Target="https://www.ca4.uscourts.gov/opinions/194466.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2A94-CF27-436E-903F-0D0D5388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7036</TotalTime>
  <Pages>6</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dc:creator>
  <cp:keywords/>
  <dc:description/>
  <cp:lastModifiedBy>Dixon, Phil</cp:lastModifiedBy>
  <cp:revision>63</cp:revision>
  <cp:lastPrinted>2021-06-15T20:14:00Z</cp:lastPrinted>
  <dcterms:created xsi:type="dcterms:W3CDTF">2021-07-20T19:35:00Z</dcterms:created>
  <dcterms:modified xsi:type="dcterms:W3CDTF">2021-08-17T16:14:00Z</dcterms:modified>
</cp:coreProperties>
</file>