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4B02" w14:textId="77777777" w:rsidR="00C036B9" w:rsidRDefault="00C036B9">
      <w:pPr>
        <w:widowControl w:val="0"/>
        <w:spacing w:line="276" w:lineRule="auto"/>
        <w:jc w:val="left"/>
        <w:rPr>
          <w:rFonts w:ascii="Arial" w:eastAsia="Arial" w:hAnsi="Arial" w:cs="Arial"/>
        </w:rPr>
      </w:pPr>
    </w:p>
    <w:tbl>
      <w:tblPr>
        <w:tblStyle w:val="a"/>
        <w:tblW w:w="9305" w:type="dxa"/>
        <w:jc w:val="center"/>
        <w:tblLayout w:type="fixed"/>
        <w:tblLook w:val="0000" w:firstRow="0" w:lastRow="0" w:firstColumn="0" w:lastColumn="0" w:noHBand="0" w:noVBand="0"/>
      </w:tblPr>
      <w:tblGrid>
        <w:gridCol w:w="9305"/>
      </w:tblGrid>
      <w:tr w:rsidR="00C036B9" w14:paraId="5176417C" w14:textId="77777777" w:rsidTr="00F13996">
        <w:trPr>
          <w:trHeight w:val="20"/>
          <w:jc w:val="center"/>
        </w:trPr>
        <w:tc>
          <w:tcPr>
            <w:tcW w:w="9305" w:type="dxa"/>
          </w:tcPr>
          <w:p w14:paraId="12F1632C" w14:textId="77777777" w:rsidR="00C036B9" w:rsidRDefault="00011C0C">
            <w:pPr>
              <w:jc w:val="center"/>
              <w:rPr>
                <w:smallCaps/>
                <w:sz w:val="20"/>
                <w:szCs w:val="20"/>
              </w:rPr>
            </w:pPr>
            <w:r>
              <w:rPr>
                <w:smallCaps/>
                <w:sz w:val="20"/>
                <w:szCs w:val="20"/>
              </w:rPr>
              <w:t>1111 SOURWOOD CIR • CHAPEL HILL, NC 27517</w:t>
            </w:r>
          </w:p>
        </w:tc>
      </w:tr>
      <w:tr w:rsidR="00C036B9" w14:paraId="653678F1" w14:textId="77777777" w:rsidTr="00F13996">
        <w:trPr>
          <w:trHeight w:val="60"/>
          <w:jc w:val="center"/>
        </w:trPr>
        <w:tc>
          <w:tcPr>
            <w:tcW w:w="9305" w:type="dxa"/>
            <w:tcMar>
              <w:bottom w:w="288" w:type="dxa"/>
            </w:tcMar>
          </w:tcPr>
          <w:p w14:paraId="40BB1C38" w14:textId="77777777" w:rsidR="00C036B9" w:rsidRDefault="00011C0C">
            <w:pPr>
              <w:jc w:val="center"/>
              <w:rPr>
                <w:smallCaps/>
                <w:sz w:val="20"/>
                <w:szCs w:val="20"/>
              </w:rPr>
            </w:pPr>
            <w:r>
              <w:rPr>
                <w:smallCaps/>
                <w:sz w:val="20"/>
                <w:szCs w:val="20"/>
              </w:rPr>
              <w:t xml:space="preserve">646-924-9396 • </w:t>
            </w:r>
            <w:hyperlink r:id="rId4">
              <w:r>
                <w:rPr>
                  <w:smallCaps/>
                  <w:color w:val="0000FF"/>
                  <w:sz w:val="20"/>
                  <w:szCs w:val="20"/>
                  <w:u w:val="single"/>
                </w:rPr>
                <w:t>DANNYSPIEGEL99@GMAIL.COM</w:t>
              </w:r>
            </w:hyperlink>
          </w:p>
        </w:tc>
      </w:tr>
    </w:tbl>
    <w:p w14:paraId="75CAA544" w14:textId="77777777" w:rsidR="00C036B9" w:rsidRDefault="00011C0C">
      <w:pPr>
        <w:spacing w:after="100"/>
        <w:jc w:val="center"/>
        <w:rPr>
          <w:smallCaps/>
          <w:sz w:val="40"/>
          <w:szCs w:val="40"/>
        </w:rPr>
      </w:pPr>
      <w:r>
        <w:rPr>
          <w:b/>
          <w:smallCaps/>
          <w:sz w:val="40"/>
          <w:szCs w:val="40"/>
        </w:rPr>
        <w:t>DANIEL L. SPIEGEL</w:t>
      </w:r>
    </w:p>
    <w:tbl>
      <w:tblPr>
        <w:tblStyle w:val="a0"/>
        <w:tblW w:w="9240" w:type="dxa"/>
        <w:tblInd w:w="-332" w:type="dxa"/>
        <w:tblLayout w:type="fixed"/>
        <w:tblLook w:val="0000" w:firstRow="0" w:lastRow="0" w:firstColumn="0" w:lastColumn="0" w:noHBand="0" w:noVBand="0"/>
      </w:tblPr>
      <w:tblGrid>
        <w:gridCol w:w="658"/>
        <w:gridCol w:w="8582"/>
      </w:tblGrid>
      <w:tr w:rsidR="00C036B9" w14:paraId="15A8BE9E" w14:textId="77777777" w:rsidTr="008E055B">
        <w:trPr>
          <w:trHeight w:val="60"/>
        </w:trPr>
        <w:tc>
          <w:tcPr>
            <w:tcW w:w="9240" w:type="dxa"/>
            <w:gridSpan w:val="2"/>
          </w:tcPr>
          <w:p w14:paraId="7A331B3C" w14:textId="77777777" w:rsidR="00C036B9" w:rsidRPr="008E055B" w:rsidRDefault="00011C0C">
            <w:pPr>
              <w:pBdr>
                <w:bottom w:val="single" w:sz="6" w:space="1" w:color="808080"/>
              </w:pBdr>
              <w:spacing w:before="220"/>
              <w:jc w:val="left"/>
              <w:rPr>
                <w:smallCaps/>
                <w:sz w:val="24"/>
                <w:szCs w:val="24"/>
              </w:rPr>
            </w:pPr>
            <w:r w:rsidRPr="008E055B">
              <w:rPr>
                <w:b/>
                <w:smallCaps/>
                <w:sz w:val="24"/>
                <w:szCs w:val="24"/>
              </w:rPr>
              <w:t>EXPERIENCE</w:t>
            </w:r>
          </w:p>
        </w:tc>
      </w:tr>
      <w:tr w:rsidR="00C036B9" w14:paraId="399676DB" w14:textId="77777777" w:rsidTr="008E055B">
        <w:trPr>
          <w:trHeight w:val="920"/>
        </w:trPr>
        <w:tc>
          <w:tcPr>
            <w:tcW w:w="658" w:type="dxa"/>
          </w:tcPr>
          <w:p w14:paraId="05A56395" w14:textId="77777777" w:rsidR="00C036B9" w:rsidRPr="008E055B" w:rsidRDefault="00C036B9">
            <w:pPr>
              <w:rPr>
                <w:sz w:val="24"/>
                <w:szCs w:val="24"/>
              </w:rPr>
            </w:pPr>
          </w:p>
        </w:tc>
        <w:tc>
          <w:tcPr>
            <w:tcW w:w="8582" w:type="dxa"/>
          </w:tcPr>
          <w:p w14:paraId="34E9F6BD" w14:textId="7874CB10" w:rsidR="00011C0C" w:rsidRPr="008E055B" w:rsidRDefault="00011C0C" w:rsidP="00011C0C">
            <w:pPr>
              <w:tabs>
                <w:tab w:val="right" w:pos="7506"/>
              </w:tabs>
              <w:spacing w:before="100"/>
              <w:jc w:val="left"/>
              <w:rPr>
                <w:bCs/>
                <w:sz w:val="24"/>
                <w:szCs w:val="24"/>
              </w:rPr>
            </w:pPr>
            <w:r w:rsidRPr="008E055B">
              <w:rPr>
                <w:b/>
                <w:sz w:val="24"/>
                <w:szCs w:val="24"/>
              </w:rPr>
              <w:t>Durham County District Attorney’s Office</w:t>
            </w:r>
            <w:r w:rsidR="004C7143" w:rsidRPr="008E055B">
              <w:rPr>
                <w:bCs/>
                <w:sz w:val="24"/>
                <w:szCs w:val="24"/>
              </w:rPr>
              <w:t>, Durham, NC</w:t>
            </w:r>
          </w:p>
          <w:p w14:paraId="0EAB7F90" w14:textId="0F8AA2EB" w:rsidR="00011C0C" w:rsidRPr="008E055B" w:rsidRDefault="00011C0C" w:rsidP="00011C0C">
            <w:pPr>
              <w:ind w:left="245" w:firstLine="87"/>
              <w:rPr>
                <w:sz w:val="24"/>
                <w:szCs w:val="24"/>
              </w:rPr>
            </w:pPr>
            <w:r w:rsidRPr="008E055B">
              <w:rPr>
                <w:i/>
                <w:sz w:val="24"/>
                <w:szCs w:val="24"/>
              </w:rPr>
              <w:t>First Assistant, Policy Counsel, Drug/Property Team Lead</w:t>
            </w:r>
            <w:r w:rsidRPr="008E055B">
              <w:rPr>
                <w:sz w:val="24"/>
                <w:szCs w:val="24"/>
              </w:rPr>
              <w:t>, January 2019-</w:t>
            </w:r>
            <w:r w:rsidR="00DD048F">
              <w:rPr>
                <w:sz w:val="24"/>
                <w:szCs w:val="24"/>
              </w:rPr>
              <w:t>January 2024</w:t>
            </w:r>
          </w:p>
          <w:p w14:paraId="22921E0D" w14:textId="554C02AB" w:rsidR="0021415B" w:rsidRPr="008E055B" w:rsidRDefault="0021415B" w:rsidP="0021415B">
            <w:pPr>
              <w:ind w:left="750" w:hanging="270"/>
              <w:rPr>
                <w:iCs/>
                <w:sz w:val="24"/>
                <w:szCs w:val="24"/>
              </w:rPr>
            </w:pPr>
            <w:r w:rsidRPr="008E055B">
              <w:rPr>
                <w:iCs/>
                <w:sz w:val="24"/>
                <w:szCs w:val="24"/>
              </w:rPr>
              <w:t xml:space="preserve">Create </w:t>
            </w:r>
            <w:r w:rsidR="00170B5A" w:rsidRPr="008E055B">
              <w:rPr>
                <w:iCs/>
                <w:sz w:val="24"/>
                <w:szCs w:val="24"/>
              </w:rPr>
              <w:t xml:space="preserve">and develop </w:t>
            </w:r>
            <w:r w:rsidRPr="008E055B">
              <w:rPr>
                <w:iCs/>
                <w:sz w:val="24"/>
                <w:szCs w:val="24"/>
              </w:rPr>
              <w:t>Pretrial Release Policy, Plea-</w:t>
            </w:r>
            <w:r w:rsidR="000768A9" w:rsidRPr="008E055B">
              <w:rPr>
                <w:iCs/>
                <w:sz w:val="24"/>
                <w:szCs w:val="24"/>
              </w:rPr>
              <w:t>B</w:t>
            </w:r>
            <w:r w:rsidRPr="008E055B">
              <w:rPr>
                <w:iCs/>
                <w:sz w:val="24"/>
                <w:szCs w:val="24"/>
              </w:rPr>
              <w:t xml:space="preserve">argaining </w:t>
            </w:r>
            <w:r w:rsidR="000768A9" w:rsidRPr="008E055B">
              <w:rPr>
                <w:iCs/>
                <w:sz w:val="24"/>
                <w:szCs w:val="24"/>
              </w:rPr>
              <w:t>G</w:t>
            </w:r>
            <w:r w:rsidRPr="008E055B">
              <w:rPr>
                <w:iCs/>
                <w:sz w:val="24"/>
                <w:szCs w:val="24"/>
              </w:rPr>
              <w:t>uidelines</w:t>
            </w:r>
            <w:r w:rsidR="000768A9" w:rsidRPr="008E055B">
              <w:rPr>
                <w:iCs/>
                <w:sz w:val="24"/>
                <w:szCs w:val="24"/>
              </w:rPr>
              <w:t xml:space="preserve">, </w:t>
            </w:r>
            <w:r w:rsidR="00170B5A" w:rsidRPr="008E055B">
              <w:rPr>
                <w:iCs/>
                <w:sz w:val="24"/>
                <w:szCs w:val="24"/>
              </w:rPr>
              <w:t>Diversion Guide,</w:t>
            </w:r>
            <w:r w:rsidR="00026F6A" w:rsidRPr="008E055B">
              <w:rPr>
                <w:iCs/>
                <w:sz w:val="24"/>
                <w:szCs w:val="24"/>
              </w:rPr>
              <w:t xml:space="preserve"> </w:t>
            </w:r>
            <w:r w:rsidRPr="008E055B">
              <w:rPr>
                <w:iCs/>
                <w:sz w:val="24"/>
                <w:szCs w:val="24"/>
              </w:rPr>
              <w:t>and other key policy documents.  Develop data projects to improve transparency</w:t>
            </w:r>
            <w:r w:rsidR="000768A9" w:rsidRPr="008E055B">
              <w:rPr>
                <w:iCs/>
                <w:sz w:val="24"/>
                <w:szCs w:val="24"/>
              </w:rPr>
              <w:t>, consistency, and equity</w:t>
            </w:r>
            <w:r w:rsidRPr="008E055B">
              <w:rPr>
                <w:iCs/>
                <w:sz w:val="24"/>
                <w:szCs w:val="24"/>
              </w:rPr>
              <w:t xml:space="preserve">.  Supervise </w:t>
            </w:r>
            <w:r w:rsidR="00170B5A" w:rsidRPr="008E055B">
              <w:rPr>
                <w:iCs/>
                <w:sz w:val="24"/>
                <w:szCs w:val="24"/>
              </w:rPr>
              <w:t>felony trial attorneys</w:t>
            </w:r>
            <w:r w:rsidRPr="008E055B">
              <w:rPr>
                <w:iCs/>
                <w:sz w:val="24"/>
                <w:szCs w:val="24"/>
              </w:rPr>
              <w:t>.  Handle large caseload involving serious property</w:t>
            </w:r>
            <w:r w:rsidR="004C7143" w:rsidRPr="008E055B">
              <w:rPr>
                <w:iCs/>
                <w:sz w:val="24"/>
                <w:szCs w:val="24"/>
              </w:rPr>
              <w:t>/financial</w:t>
            </w:r>
            <w:r w:rsidRPr="008E055B">
              <w:rPr>
                <w:iCs/>
                <w:sz w:val="24"/>
                <w:szCs w:val="24"/>
              </w:rPr>
              <w:t xml:space="preserve"> crimes, drug trafficking, and some violent crimes.</w:t>
            </w:r>
            <w:r w:rsidR="00170B5A" w:rsidRPr="008E055B">
              <w:rPr>
                <w:iCs/>
                <w:sz w:val="24"/>
                <w:szCs w:val="24"/>
              </w:rPr>
              <w:t xml:space="preserve">  Tried drug trafficking case involving wiretap and attempted murder case.</w:t>
            </w:r>
          </w:p>
          <w:p w14:paraId="6449750D" w14:textId="0974784A" w:rsidR="00011C0C" w:rsidRPr="008E055B" w:rsidRDefault="00011C0C" w:rsidP="00011C0C">
            <w:pPr>
              <w:tabs>
                <w:tab w:val="right" w:pos="7506"/>
              </w:tabs>
              <w:spacing w:before="100"/>
              <w:jc w:val="left"/>
              <w:rPr>
                <w:bCs/>
                <w:sz w:val="24"/>
                <w:szCs w:val="24"/>
              </w:rPr>
            </w:pPr>
            <w:r w:rsidRPr="008E055B">
              <w:rPr>
                <w:b/>
                <w:sz w:val="24"/>
                <w:szCs w:val="24"/>
              </w:rPr>
              <w:t>Fair Punishment Project/The Justice Collaborative</w:t>
            </w:r>
            <w:r w:rsidR="00895E45" w:rsidRPr="008E055B">
              <w:rPr>
                <w:b/>
                <w:sz w:val="24"/>
                <w:szCs w:val="24"/>
              </w:rPr>
              <w:t xml:space="preserve"> </w:t>
            </w:r>
            <w:r w:rsidR="00895E45" w:rsidRPr="008E055B">
              <w:rPr>
                <w:bCs/>
                <w:sz w:val="24"/>
                <w:szCs w:val="24"/>
              </w:rPr>
              <w:t>(National)</w:t>
            </w:r>
          </w:p>
          <w:p w14:paraId="711C6756" w14:textId="77777777" w:rsidR="00011C0C" w:rsidRPr="008E055B" w:rsidRDefault="00011C0C" w:rsidP="00011C0C">
            <w:pPr>
              <w:ind w:left="245" w:firstLine="87"/>
              <w:rPr>
                <w:sz w:val="24"/>
                <w:szCs w:val="24"/>
              </w:rPr>
            </w:pPr>
            <w:r w:rsidRPr="008E055B">
              <w:rPr>
                <w:i/>
                <w:sz w:val="24"/>
                <w:szCs w:val="24"/>
              </w:rPr>
              <w:t>Senior Legal Counsel</w:t>
            </w:r>
            <w:r w:rsidRPr="008E055B">
              <w:rPr>
                <w:sz w:val="24"/>
                <w:szCs w:val="24"/>
              </w:rPr>
              <w:t>, April 2018 – November 2018</w:t>
            </w:r>
          </w:p>
          <w:p w14:paraId="69B5327E" w14:textId="208115A0" w:rsidR="00011C0C" w:rsidRPr="008E055B" w:rsidRDefault="00011C0C" w:rsidP="00011C0C">
            <w:pPr>
              <w:ind w:left="750" w:hanging="270"/>
              <w:rPr>
                <w:sz w:val="24"/>
                <w:szCs w:val="24"/>
              </w:rPr>
            </w:pPr>
            <w:r w:rsidRPr="008E055B">
              <w:rPr>
                <w:sz w:val="24"/>
                <w:szCs w:val="24"/>
              </w:rPr>
              <w:t>Engaged in diverse policy and media initiatives nationwide addressing criminal justice reform. Focused on district attorney races and platforms in Durham, Charlotte, Boston, Dallas, and St. Louis.</w:t>
            </w:r>
          </w:p>
          <w:p w14:paraId="675F0D79" w14:textId="77777777" w:rsidR="00C036B9" w:rsidRPr="008E055B" w:rsidRDefault="00011C0C">
            <w:pPr>
              <w:tabs>
                <w:tab w:val="right" w:pos="7506"/>
              </w:tabs>
              <w:spacing w:before="100"/>
              <w:jc w:val="left"/>
              <w:rPr>
                <w:sz w:val="24"/>
                <w:szCs w:val="24"/>
              </w:rPr>
            </w:pPr>
            <w:r w:rsidRPr="008E055B">
              <w:rPr>
                <w:b/>
                <w:sz w:val="24"/>
                <w:szCs w:val="24"/>
              </w:rPr>
              <w:t>Office of the Appellate Defender</w:t>
            </w:r>
            <w:r w:rsidRPr="008E055B">
              <w:rPr>
                <w:sz w:val="24"/>
                <w:szCs w:val="24"/>
              </w:rPr>
              <w:t>, Durham, NC</w:t>
            </w:r>
          </w:p>
          <w:p w14:paraId="4494C4E8" w14:textId="77777777" w:rsidR="00C036B9" w:rsidRPr="008E055B" w:rsidRDefault="00011C0C">
            <w:pPr>
              <w:ind w:left="245" w:firstLine="87"/>
              <w:rPr>
                <w:sz w:val="24"/>
                <w:szCs w:val="24"/>
              </w:rPr>
            </w:pPr>
            <w:r w:rsidRPr="008E055B">
              <w:rPr>
                <w:i/>
                <w:sz w:val="24"/>
                <w:szCs w:val="24"/>
              </w:rPr>
              <w:t>Assistant Appellate Defender</w:t>
            </w:r>
            <w:r w:rsidRPr="008E055B">
              <w:rPr>
                <w:sz w:val="24"/>
                <w:szCs w:val="24"/>
              </w:rPr>
              <w:t>, December 2014 – April 2018</w:t>
            </w:r>
          </w:p>
          <w:p w14:paraId="1A52CBFB" w14:textId="77777777" w:rsidR="00C036B9" w:rsidRPr="008E055B" w:rsidRDefault="00011C0C">
            <w:pPr>
              <w:ind w:left="750" w:hanging="270"/>
              <w:rPr>
                <w:sz w:val="24"/>
                <w:szCs w:val="24"/>
              </w:rPr>
            </w:pPr>
            <w:r w:rsidRPr="008E055B">
              <w:rPr>
                <w:sz w:val="24"/>
                <w:szCs w:val="24"/>
              </w:rPr>
              <w:t xml:space="preserve">Handled state appeals in the North Carolina Court of Appeals and Supreme Court.  Prevailed in major cases involving the statute of limitations for misdemeanors and the definition of armed robbery.  Engaged in special litigation to address systemic injustices involving extended post-release supervision of sex offenders and pay-to-play deferral programs.  </w:t>
            </w:r>
          </w:p>
          <w:p w14:paraId="75680B89" w14:textId="77777777" w:rsidR="00C036B9" w:rsidRPr="008E055B" w:rsidRDefault="00011C0C">
            <w:pPr>
              <w:tabs>
                <w:tab w:val="right" w:pos="7506"/>
              </w:tabs>
              <w:spacing w:before="100"/>
              <w:jc w:val="left"/>
              <w:rPr>
                <w:sz w:val="24"/>
                <w:szCs w:val="24"/>
              </w:rPr>
            </w:pPr>
            <w:r w:rsidRPr="008E055B">
              <w:rPr>
                <w:b/>
                <w:sz w:val="24"/>
                <w:szCs w:val="24"/>
              </w:rPr>
              <w:t>Hoke County Public Defender Office</w:t>
            </w:r>
            <w:r w:rsidRPr="008E055B">
              <w:rPr>
                <w:sz w:val="24"/>
                <w:szCs w:val="24"/>
              </w:rPr>
              <w:t>, Raeford, NC</w:t>
            </w:r>
          </w:p>
          <w:p w14:paraId="338F7F2E" w14:textId="77777777" w:rsidR="00C036B9" w:rsidRPr="008E055B" w:rsidRDefault="00011C0C">
            <w:pPr>
              <w:ind w:left="245" w:firstLine="87"/>
              <w:rPr>
                <w:sz w:val="24"/>
                <w:szCs w:val="24"/>
              </w:rPr>
            </w:pPr>
            <w:r w:rsidRPr="008E055B">
              <w:rPr>
                <w:i/>
                <w:sz w:val="24"/>
                <w:szCs w:val="24"/>
              </w:rPr>
              <w:t>Assistant Public Defender</w:t>
            </w:r>
            <w:r w:rsidRPr="008E055B">
              <w:rPr>
                <w:sz w:val="24"/>
                <w:szCs w:val="24"/>
              </w:rPr>
              <w:t>, June 2013 - December 2014</w:t>
            </w:r>
          </w:p>
          <w:p w14:paraId="230EDDA8" w14:textId="77777777" w:rsidR="00C036B9" w:rsidRPr="008E055B" w:rsidRDefault="00011C0C">
            <w:pPr>
              <w:ind w:left="772" w:hanging="240"/>
              <w:rPr>
                <w:sz w:val="24"/>
                <w:szCs w:val="24"/>
              </w:rPr>
            </w:pPr>
            <w:r w:rsidRPr="008E055B">
              <w:rPr>
                <w:sz w:val="24"/>
                <w:szCs w:val="24"/>
              </w:rPr>
              <w:t xml:space="preserve">Represented clients in Superior Court on felony matters involving sex offenses, drugs, property crime, and habitual felon offenses. </w:t>
            </w:r>
          </w:p>
          <w:p w14:paraId="0C5A369F" w14:textId="77777777" w:rsidR="00C036B9" w:rsidRPr="008E055B" w:rsidRDefault="00011C0C">
            <w:pPr>
              <w:tabs>
                <w:tab w:val="right" w:pos="7506"/>
              </w:tabs>
              <w:spacing w:before="100"/>
              <w:jc w:val="left"/>
              <w:rPr>
                <w:sz w:val="24"/>
                <w:szCs w:val="24"/>
              </w:rPr>
            </w:pPr>
            <w:r w:rsidRPr="008E055B">
              <w:rPr>
                <w:b/>
                <w:sz w:val="24"/>
                <w:szCs w:val="24"/>
              </w:rPr>
              <w:t>Mecklenburg County Public Defender Office</w:t>
            </w:r>
            <w:r w:rsidRPr="008E055B">
              <w:rPr>
                <w:sz w:val="24"/>
                <w:szCs w:val="24"/>
              </w:rPr>
              <w:t>, Charlotte, NC</w:t>
            </w:r>
          </w:p>
          <w:p w14:paraId="7BEE3B43" w14:textId="77777777" w:rsidR="00C036B9" w:rsidRPr="008E055B" w:rsidRDefault="00011C0C">
            <w:pPr>
              <w:ind w:left="245" w:firstLine="87"/>
              <w:rPr>
                <w:sz w:val="24"/>
                <w:szCs w:val="24"/>
              </w:rPr>
            </w:pPr>
            <w:r w:rsidRPr="008E055B">
              <w:rPr>
                <w:i/>
                <w:sz w:val="24"/>
                <w:szCs w:val="24"/>
              </w:rPr>
              <w:t>Assistant Public Defender</w:t>
            </w:r>
            <w:r w:rsidRPr="008E055B">
              <w:rPr>
                <w:sz w:val="24"/>
                <w:szCs w:val="24"/>
              </w:rPr>
              <w:t xml:space="preserve">, September 2010 - June 2013 </w:t>
            </w:r>
          </w:p>
          <w:p w14:paraId="7D6480CF" w14:textId="6B834B86" w:rsidR="00C036B9" w:rsidRPr="008E055B" w:rsidRDefault="00011C0C">
            <w:pPr>
              <w:ind w:left="772" w:hanging="240"/>
              <w:rPr>
                <w:sz w:val="24"/>
                <w:szCs w:val="24"/>
              </w:rPr>
            </w:pPr>
            <w:r w:rsidRPr="008E055B">
              <w:rPr>
                <w:sz w:val="24"/>
                <w:szCs w:val="24"/>
              </w:rPr>
              <w:t xml:space="preserve">Represented clients and tried over 70 cases in matters ranging from possession of marijuana and trespass to felony habitual DWI and sale of cocaine.  Successfully argued motions involving infrequently litigated issues such as prior invalid waivers of counsel and violations of due process at the local jail.  Nominated for “Raising the Bar” award by District Court Judge for excellence in advocacy.  </w:t>
            </w:r>
          </w:p>
          <w:p w14:paraId="13AE6EA0" w14:textId="77777777" w:rsidR="00C036B9" w:rsidRPr="008E055B" w:rsidRDefault="00011C0C">
            <w:pPr>
              <w:tabs>
                <w:tab w:val="right" w:pos="7506"/>
              </w:tabs>
              <w:spacing w:before="100"/>
              <w:jc w:val="left"/>
              <w:rPr>
                <w:sz w:val="24"/>
                <w:szCs w:val="24"/>
              </w:rPr>
            </w:pPr>
            <w:r w:rsidRPr="008E055B">
              <w:rPr>
                <w:b/>
                <w:sz w:val="24"/>
                <w:szCs w:val="24"/>
              </w:rPr>
              <w:t>Concert Pianist</w:t>
            </w:r>
            <w:r w:rsidRPr="008E055B">
              <w:rPr>
                <w:sz w:val="24"/>
                <w:szCs w:val="24"/>
              </w:rPr>
              <w:t>, 2001-2007</w:t>
            </w:r>
          </w:p>
          <w:p w14:paraId="25D6B97B" w14:textId="77777777" w:rsidR="00C036B9" w:rsidRPr="008E055B" w:rsidRDefault="00011C0C">
            <w:pPr>
              <w:ind w:left="772" w:hanging="202"/>
              <w:rPr>
                <w:sz w:val="24"/>
                <w:szCs w:val="24"/>
              </w:rPr>
            </w:pPr>
            <w:r w:rsidRPr="008E055B">
              <w:rPr>
                <w:sz w:val="24"/>
                <w:szCs w:val="24"/>
              </w:rPr>
              <w:t xml:space="preserve">Performances at venues such as Carnegie Hall’s Weill Recital Hall (New York), National Arts Center (Ottawa), and Bemberg Foundation (Toulouse).  Winner of NSO Young Soloists’ Competition.  CDs with Pittsburgh New Music Ensemble. </w:t>
            </w:r>
          </w:p>
        </w:tc>
      </w:tr>
      <w:tr w:rsidR="00C036B9" w14:paraId="162838D2" w14:textId="77777777" w:rsidTr="008E055B">
        <w:trPr>
          <w:trHeight w:val="320"/>
        </w:trPr>
        <w:tc>
          <w:tcPr>
            <w:tcW w:w="9240" w:type="dxa"/>
            <w:gridSpan w:val="2"/>
          </w:tcPr>
          <w:p w14:paraId="5C5A7ADC" w14:textId="77777777" w:rsidR="00C036B9" w:rsidRPr="008E055B" w:rsidRDefault="00011C0C">
            <w:pPr>
              <w:pBdr>
                <w:bottom w:val="single" w:sz="6" w:space="1" w:color="808080"/>
              </w:pBdr>
              <w:spacing w:before="100"/>
              <w:jc w:val="left"/>
              <w:rPr>
                <w:smallCaps/>
                <w:sz w:val="24"/>
                <w:szCs w:val="24"/>
              </w:rPr>
            </w:pPr>
            <w:r w:rsidRPr="008E055B">
              <w:rPr>
                <w:b/>
                <w:smallCaps/>
                <w:sz w:val="24"/>
                <w:szCs w:val="24"/>
              </w:rPr>
              <w:t>EDUCATION</w:t>
            </w:r>
          </w:p>
        </w:tc>
      </w:tr>
      <w:tr w:rsidR="00C036B9" w14:paraId="05390741" w14:textId="77777777" w:rsidTr="008E055B">
        <w:trPr>
          <w:trHeight w:val="320"/>
        </w:trPr>
        <w:tc>
          <w:tcPr>
            <w:tcW w:w="658" w:type="dxa"/>
          </w:tcPr>
          <w:p w14:paraId="20187D2C" w14:textId="77777777" w:rsidR="00C036B9" w:rsidRPr="008E055B" w:rsidRDefault="00C036B9">
            <w:pPr>
              <w:rPr>
                <w:sz w:val="24"/>
                <w:szCs w:val="24"/>
              </w:rPr>
            </w:pPr>
          </w:p>
        </w:tc>
        <w:tc>
          <w:tcPr>
            <w:tcW w:w="8582" w:type="dxa"/>
          </w:tcPr>
          <w:p w14:paraId="6686D341" w14:textId="6551D6A6" w:rsidR="00C036B9" w:rsidRPr="008E055B" w:rsidRDefault="00011C0C">
            <w:pPr>
              <w:tabs>
                <w:tab w:val="right" w:pos="7506"/>
              </w:tabs>
              <w:spacing w:before="100"/>
              <w:jc w:val="left"/>
              <w:rPr>
                <w:sz w:val="24"/>
                <w:szCs w:val="24"/>
              </w:rPr>
            </w:pPr>
            <w:r w:rsidRPr="008E055B">
              <w:rPr>
                <w:b/>
                <w:sz w:val="24"/>
                <w:szCs w:val="24"/>
              </w:rPr>
              <w:t>Harvard Law School</w:t>
            </w:r>
            <w:r w:rsidRPr="008E055B">
              <w:rPr>
                <w:sz w:val="24"/>
                <w:szCs w:val="24"/>
              </w:rPr>
              <w:t>,</w:t>
            </w:r>
            <w:r w:rsidRPr="008E055B">
              <w:rPr>
                <w:b/>
                <w:sz w:val="24"/>
                <w:szCs w:val="24"/>
              </w:rPr>
              <w:t xml:space="preserve"> </w:t>
            </w:r>
            <w:r w:rsidRPr="008E055B">
              <w:rPr>
                <w:sz w:val="24"/>
                <w:szCs w:val="24"/>
              </w:rPr>
              <w:t>Cambridge, MA</w:t>
            </w:r>
            <w:r w:rsidRPr="008E055B">
              <w:rPr>
                <w:sz w:val="24"/>
                <w:szCs w:val="24"/>
              </w:rPr>
              <w:tab/>
            </w:r>
            <w:r w:rsidRPr="008E055B">
              <w:rPr>
                <w:sz w:val="24"/>
                <w:szCs w:val="24"/>
              </w:rPr>
              <w:tab/>
            </w:r>
          </w:p>
          <w:p w14:paraId="5D634F62" w14:textId="54376A3A" w:rsidR="00C036B9" w:rsidRPr="008E055B" w:rsidRDefault="00011C0C">
            <w:pPr>
              <w:ind w:left="332"/>
              <w:jc w:val="left"/>
              <w:rPr>
                <w:sz w:val="24"/>
                <w:szCs w:val="24"/>
              </w:rPr>
            </w:pPr>
            <w:r w:rsidRPr="008E055B">
              <w:rPr>
                <w:i/>
                <w:sz w:val="24"/>
                <w:szCs w:val="24"/>
              </w:rPr>
              <w:t>Juris Doctor, Cum Laude</w:t>
            </w:r>
            <w:r w:rsidR="00895E45" w:rsidRPr="008E055B">
              <w:rPr>
                <w:iCs/>
                <w:sz w:val="24"/>
                <w:szCs w:val="24"/>
              </w:rPr>
              <w:t>,</w:t>
            </w:r>
            <w:r w:rsidRPr="008E055B">
              <w:rPr>
                <w:sz w:val="24"/>
                <w:szCs w:val="24"/>
              </w:rPr>
              <w:t xml:space="preserve"> 2010 </w:t>
            </w:r>
          </w:p>
          <w:p w14:paraId="45E95C96" w14:textId="77777777" w:rsidR="00C036B9" w:rsidRPr="008E055B" w:rsidRDefault="00011C0C">
            <w:pPr>
              <w:tabs>
                <w:tab w:val="right" w:pos="7506"/>
              </w:tabs>
              <w:spacing w:before="100"/>
              <w:jc w:val="left"/>
              <w:rPr>
                <w:sz w:val="24"/>
                <w:szCs w:val="24"/>
              </w:rPr>
            </w:pPr>
            <w:r w:rsidRPr="008E055B">
              <w:rPr>
                <w:b/>
                <w:sz w:val="24"/>
                <w:szCs w:val="24"/>
              </w:rPr>
              <w:t>The Juilliard School</w:t>
            </w:r>
            <w:r w:rsidRPr="008E055B">
              <w:rPr>
                <w:sz w:val="24"/>
                <w:szCs w:val="24"/>
              </w:rPr>
              <w:t>, New York, NY</w:t>
            </w:r>
            <w:r w:rsidRPr="008E055B">
              <w:rPr>
                <w:sz w:val="24"/>
                <w:szCs w:val="24"/>
              </w:rPr>
              <w:tab/>
            </w:r>
            <w:r w:rsidRPr="008E055B">
              <w:rPr>
                <w:sz w:val="24"/>
                <w:szCs w:val="24"/>
              </w:rPr>
              <w:tab/>
            </w:r>
          </w:p>
          <w:p w14:paraId="2491B53E" w14:textId="77777777" w:rsidR="00C036B9" w:rsidRPr="008E055B" w:rsidRDefault="00011C0C">
            <w:pPr>
              <w:ind w:left="332"/>
              <w:jc w:val="left"/>
              <w:rPr>
                <w:i/>
                <w:sz w:val="24"/>
                <w:szCs w:val="24"/>
              </w:rPr>
            </w:pPr>
            <w:r w:rsidRPr="008E055B">
              <w:rPr>
                <w:i/>
                <w:sz w:val="24"/>
                <w:szCs w:val="24"/>
              </w:rPr>
              <w:t xml:space="preserve">Master of Music, Piano Performance, </w:t>
            </w:r>
            <w:r w:rsidRPr="008E055B">
              <w:rPr>
                <w:sz w:val="24"/>
                <w:szCs w:val="24"/>
              </w:rPr>
              <w:t>2003 - 2005</w:t>
            </w:r>
          </w:p>
          <w:p w14:paraId="04E2E1B2" w14:textId="77777777" w:rsidR="00C036B9" w:rsidRPr="008E055B" w:rsidRDefault="00011C0C">
            <w:pPr>
              <w:tabs>
                <w:tab w:val="right" w:pos="7506"/>
              </w:tabs>
              <w:spacing w:before="100"/>
              <w:jc w:val="left"/>
              <w:rPr>
                <w:sz w:val="24"/>
                <w:szCs w:val="24"/>
              </w:rPr>
            </w:pPr>
            <w:r w:rsidRPr="008E055B">
              <w:rPr>
                <w:b/>
                <w:sz w:val="24"/>
                <w:szCs w:val="24"/>
              </w:rPr>
              <w:t>Johns Hopkins University</w:t>
            </w:r>
            <w:r w:rsidRPr="008E055B">
              <w:rPr>
                <w:sz w:val="24"/>
                <w:szCs w:val="24"/>
              </w:rPr>
              <w:t xml:space="preserve"> and </w:t>
            </w:r>
            <w:r w:rsidRPr="008E055B">
              <w:rPr>
                <w:b/>
                <w:sz w:val="24"/>
                <w:szCs w:val="24"/>
              </w:rPr>
              <w:t>Peabody Conservatory</w:t>
            </w:r>
            <w:r w:rsidRPr="008E055B">
              <w:rPr>
                <w:sz w:val="24"/>
                <w:szCs w:val="24"/>
              </w:rPr>
              <w:t>, Baltimore, MD</w:t>
            </w:r>
            <w:r w:rsidRPr="008E055B">
              <w:rPr>
                <w:sz w:val="24"/>
                <w:szCs w:val="24"/>
              </w:rPr>
              <w:tab/>
            </w:r>
            <w:r w:rsidRPr="008E055B">
              <w:rPr>
                <w:sz w:val="24"/>
                <w:szCs w:val="24"/>
              </w:rPr>
              <w:tab/>
            </w:r>
          </w:p>
          <w:p w14:paraId="0EF918CC" w14:textId="77777777" w:rsidR="00C036B9" w:rsidRPr="008E055B" w:rsidRDefault="00011C0C">
            <w:pPr>
              <w:ind w:left="332" w:hanging="32"/>
              <w:rPr>
                <w:sz w:val="24"/>
                <w:szCs w:val="24"/>
              </w:rPr>
            </w:pPr>
            <w:r w:rsidRPr="008E055B">
              <w:rPr>
                <w:i/>
                <w:sz w:val="24"/>
                <w:szCs w:val="24"/>
              </w:rPr>
              <w:t>Bachelor of Arts, English, Bachelor of Music, Piano Performance</w:t>
            </w:r>
            <w:r w:rsidRPr="008E055B">
              <w:rPr>
                <w:sz w:val="24"/>
                <w:szCs w:val="24"/>
              </w:rPr>
              <w:t xml:space="preserve">, </w:t>
            </w:r>
            <w:r w:rsidRPr="008E055B">
              <w:rPr>
                <w:i/>
                <w:sz w:val="24"/>
                <w:szCs w:val="24"/>
              </w:rPr>
              <w:t>Phi Beta Kappa</w:t>
            </w:r>
            <w:r w:rsidRPr="008E055B">
              <w:rPr>
                <w:sz w:val="24"/>
                <w:szCs w:val="24"/>
              </w:rPr>
              <w:t>,</w:t>
            </w:r>
            <w:r w:rsidRPr="008E055B">
              <w:rPr>
                <w:i/>
                <w:sz w:val="24"/>
                <w:szCs w:val="24"/>
              </w:rPr>
              <w:t xml:space="preserve"> </w:t>
            </w:r>
            <w:r w:rsidRPr="008E055B">
              <w:rPr>
                <w:sz w:val="24"/>
                <w:szCs w:val="24"/>
              </w:rPr>
              <w:t>1999 - 2003</w:t>
            </w:r>
            <w:r w:rsidRPr="008E055B">
              <w:rPr>
                <w:sz w:val="24"/>
                <w:szCs w:val="24"/>
              </w:rPr>
              <w:tab/>
            </w:r>
          </w:p>
        </w:tc>
      </w:tr>
    </w:tbl>
    <w:p w14:paraId="61DF9ECE" w14:textId="77777777" w:rsidR="008E055B" w:rsidRDefault="008E055B">
      <w:r>
        <w:br w:type="page"/>
      </w:r>
    </w:p>
    <w:tbl>
      <w:tblPr>
        <w:tblStyle w:val="a0"/>
        <w:tblW w:w="9240" w:type="dxa"/>
        <w:tblInd w:w="-332" w:type="dxa"/>
        <w:tblLayout w:type="fixed"/>
        <w:tblLook w:val="0000" w:firstRow="0" w:lastRow="0" w:firstColumn="0" w:lastColumn="0" w:noHBand="0" w:noVBand="0"/>
      </w:tblPr>
      <w:tblGrid>
        <w:gridCol w:w="658"/>
        <w:gridCol w:w="8582"/>
      </w:tblGrid>
      <w:tr w:rsidR="00170B5A" w14:paraId="61078EAB" w14:textId="77777777" w:rsidTr="008E055B">
        <w:trPr>
          <w:trHeight w:val="320"/>
        </w:trPr>
        <w:tc>
          <w:tcPr>
            <w:tcW w:w="9240" w:type="dxa"/>
            <w:gridSpan w:val="2"/>
          </w:tcPr>
          <w:p w14:paraId="180DB5E3" w14:textId="71B9041C" w:rsidR="00170B5A" w:rsidRPr="008E055B" w:rsidRDefault="00026F6A" w:rsidP="00EA41A1">
            <w:pPr>
              <w:pBdr>
                <w:bottom w:val="single" w:sz="6" w:space="1" w:color="808080"/>
              </w:pBdr>
              <w:spacing w:before="100"/>
              <w:jc w:val="left"/>
              <w:rPr>
                <w:smallCaps/>
                <w:sz w:val="24"/>
                <w:szCs w:val="24"/>
              </w:rPr>
            </w:pPr>
            <w:r w:rsidRPr="008E055B">
              <w:rPr>
                <w:b/>
                <w:smallCaps/>
                <w:sz w:val="24"/>
                <w:szCs w:val="24"/>
              </w:rPr>
              <w:lastRenderedPageBreak/>
              <w:t xml:space="preserve">NOTABLE </w:t>
            </w:r>
            <w:r w:rsidR="00170B5A" w:rsidRPr="008E055B">
              <w:rPr>
                <w:b/>
                <w:smallCaps/>
                <w:sz w:val="24"/>
                <w:szCs w:val="24"/>
              </w:rPr>
              <w:t>PRESENTATIONS</w:t>
            </w:r>
          </w:p>
        </w:tc>
      </w:tr>
      <w:tr w:rsidR="00170B5A" w14:paraId="5E34C044" w14:textId="77777777" w:rsidTr="008E055B">
        <w:trPr>
          <w:trHeight w:val="320"/>
        </w:trPr>
        <w:tc>
          <w:tcPr>
            <w:tcW w:w="658" w:type="dxa"/>
          </w:tcPr>
          <w:p w14:paraId="79F921B7" w14:textId="77777777" w:rsidR="00170B5A" w:rsidRPr="008E055B" w:rsidRDefault="00170B5A" w:rsidP="00EA41A1">
            <w:pPr>
              <w:rPr>
                <w:sz w:val="24"/>
                <w:szCs w:val="24"/>
              </w:rPr>
            </w:pPr>
          </w:p>
        </w:tc>
        <w:tc>
          <w:tcPr>
            <w:tcW w:w="8582" w:type="dxa"/>
          </w:tcPr>
          <w:p w14:paraId="658F6363" w14:textId="21BB4902" w:rsidR="00170B5A" w:rsidRPr="008E055B" w:rsidRDefault="00026F6A" w:rsidP="00026F6A">
            <w:pPr>
              <w:tabs>
                <w:tab w:val="right" w:pos="7506"/>
              </w:tabs>
              <w:spacing w:before="100"/>
              <w:rPr>
                <w:bCs/>
                <w:sz w:val="24"/>
                <w:szCs w:val="24"/>
              </w:rPr>
            </w:pPr>
            <w:r w:rsidRPr="008E055B">
              <w:rPr>
                <w:bCs/>
                <w:sz w:val="24"/>
                <w:szCs w:val="24"/>
              </w:rPr>
              <w:t>“DWI Procedures: Navigating the Maze,” with Assistant Public Defender Laura Gibson, 2018 Spring Public Defender Conference.</w:t>
            </w:r>
            <w:r w:rsidR="00170B5A" w:rsidRPr="008E055B">
              <w:rPr>
                <w:sz w:val="24"/>
                <w:szCs w:val="24"/>
              </w:rPr>
              <w:tab/>
            </w:r>
            <w:r w:rsidR="00170B5A" w:rsidRPr="008E055B">
              <w:rPr>
                <w:sz w:val="24"/>
                <w:szCs w:val="24"/>
              </w:rPr>
              <w:tab/>
            </w:r>
          </w:p>
          <w:p w14:paraId="59F62B01" w14:textId="77777777" w:rsidR="00026F6A" w:rsidRPr="008E055B" w:rsidRDefault="00026F6A" w:rsidP="00026F6A">
            <w:pPr>
              <w:rPr>
                <w:bCs/>
                <w:sz w:val="24"/>
                <w:szCs w:val="24"/>
              </w:rPr>
            </w:pPr>
          </w:p>
          <w:p w14:paraId="14EF552C" w14:textId="6A853553" w:rsidR="00170B5A" w:rsidRPr="008E055B" w:rsidRDefault="00026F6A" w:rsidP="00026F6A">
            <w:pPr>
              <w:rPr>
                <w:bCs/>
                <w:sz w:val="24"/>
                <w:szCs w:val="24"/>
              </w:rPr>
            </w:pPr>
            <w:r w:rsidRPr="008E055B">
              <w:rPr>
                <w:bCs/>
                <w:sz w:val="24"/>
                <w:szCs w:val="24"/>
              </w:rPr>
              <w:t>“</w:t>
            </w:r>
            <w:r w:rsidRPr="008E055B">
              <w:rPr>
                <w:bCs/>
                <w:i/>
                <w:iCs/>
                <w:sz w:val="24"/>
                <w:szCs w:val="24"/>
              </w:rPr>
              <w:t xml:space="preserve">Turner </w:t>
            </w:r>
            <w:r w:rsidRPr="008E055B">
              <w:rPr>
                <w:bCs/>
                <w:sz w:val="24"/>
                <w:szCs w:val="24"/>
              </w:rPr>
              <w:t xml:space="preserve">and the Statute of Limitations for Misdemeanors,” with T.J. Rohr, </w:t>
            </w:r>
            <w:r w:rsidR="008E055B" w:rsidRPr="008E055B">
              <w:rPr>
                <w:bCs/>
                <w:sz w:val="24"/>
                <w:szCs w:val="24"/>
              </w:rPr>
              <w:t>2017</w:t>
            </w:r>
            <w:r w:rsidRPr="008E055B">
              <w:rPr>
                <w:bCs/>
                <w:sz w:val="24"/>
                <w:szCs w:val="24"/>
              </w:rPr>
              <w:t xml:space="preserve"> Spring Public Defender Conference.</w:t>
            </w:r>
          </w:p>
          <w:p w14:paraId="5AA87FA4" w14:textId="77777777" w:rsidR="00026F6A" w:rsidRPr="008E055B" w:rsidRDefault="00026F6A" w:rsidP="00026F6A">
            <w:pPr>
              <w:rPr>
                <w:bCs/>
                <w:sz w:val="24"/>
                <w:szCs w:val="24"/>
              </w:rPr>
            </w:pPr>
          </w:p>
          <w:p w14:paraId="3DC2333F" w14:textId="2A89A378" w:rsidR="00026F6A" w:rsidRPr="008E055B" w:rsidRDefault="00026F6A" w:rsidP="00026F6A">
            <w:pPr>
              <w:rPr>
                <w:sz w:val="24"/>
                <w:szCs w:val="24"/>
              </w:rPr>
            </w:pPr>
            <w:r w:rsidRPr="008E055B">
              <w:rPr>
                <w:bCs/>
                <w:sz w:val="24"/>
                <w:szCs w:val="24"/>
              </w:rPr>
              <w:t>“</w:t>
            </w:r>
            <w:r w:rsidR="008E055B" w:rsidRPr="008E055B">
              <w:rPr>
                <w:bCs/>
                <w:sz w:val="24"/>
                <w:szCs w:val="24"/>
              </w:rPr>
              <w:t>Durham County Pretrial Release Policy</w:t>
            </w:r>
            <w:r w:rsidRPr="008E055B">
              <w:rPr>
                <w:bCs/>
                <w:sz w:val="24"/>
                <w:szCs w:val="24"/>
              </w:rPr>
              <w:t xml:space="preserve">,” </w:t>
            </w:r>
            <w:r w:rsidR="008E055B" w:rsidRPr="008E055B">
              <w:rPr>
                <w:bCs/>
                <w:sz w:val="24"/>
                <w:szCs w:val="24"/>
              </w:rPr>
              <w:t xml:space="preserve">NC Bail Bonds Group, November 2018. </w:t>
            </w:r>
          </w:p>
        </w:tc>
      </w:tr>
      <w:tr w:rsidR="008E055B" w:rsidRPr="008E055B" w14:paraId="4463BEE6" w14:textId="77777777" w:rsidTr="008E055B">
        <w:trPr>
          <w:trHeight w:val="60"/>
        </w:trPr>
        <w:tc>
          <w:tcPr>
            <w:tcW w:w="9240" w:type="dxa"/>
            <w:gridSpan w:val="2"/>
          </w:tcPr>
          <w:p w14:paraId="72FF3A12" w14:textId="248122DD" w:rsidR="008E055B" w:rsidRPr="008E055B" w:rsidRDefault="008E055B" w:rsidP="00EA41A1">
            <w:pPr>
              <w:pBdr>
                <w:bottom w:val="single" w:sz="6" w:space="1" w:color="808080"/>
              </w:pBdr>
              <w:spacing w:before="220"/>
              <w:jc w:val="left"/>
              <w:rPr>
                <w:smallCaps/>
                <w:sz w:val="24"/>
                <w:szCs w:val="24"/>
              </w:rPr>
            </w:pPr>
            <w:r>
              <w:rPr>
                <w:b/>
                <w:smallCaps/>
                <w:sz w:val="24"/>
                <w:szCs w:val="24"/>
              </w:rPr>
              <w:t>PUBLICATIONS</w:t>
            </w:r>
            <w:r w:rsidRPr="008E055B">
              <w:rPr>
                <w:b/>
                <w:smallCaps/>
                <w:sz w:val="24"/>
                <w:szCs w:val="24"/>
              </w:rPr>
              <w:t xml:space="preserve"> </w:t>
            </w:r>
          </w:p>
        </w:tc>
      </w:tr>
      <w:tr w:rsidR="008E055B" w:rsidRPr="008E055B" w14:paraId="5EFB113C" w14:textId="77777777" w:rsidTr="008E055B">
        <w:trPr>
          <w:trHeight w:val="340"/>
        </w:trPr>
        <w:tc>
          <w:tcPr>
            <w:tcW w:w="658" w:type="dxa"/>
          </w:tcPr>
          <w:p w14:paraId="419F48DC" w14:textId="77777777" w:rsidR="008E055B" w:rsidRPr="008E055B" w:rsidRDefault="008E055B" w:rsidP="00EA41A1">
            <w:pPr>
              <w:rPr>
                <w:sz w:val="24"/>
                <w:szCs w:val="24"/>
              </w:rPr>
            </w:pPr>
          </w:p>
        </w:tc>
        <w:tc>
          <w:tcPr>
            <w:tcW w:w="8582" w:type="dxa"/>
          </w:tcPr>
          <w:p w14:paraId="1B747D63" w14:textId="0F73001F" w:rsidR="008E055B" w:rsidRPr="008E055B" w:rsidRDefault="00F13996" w:rsidP="008E055B">
            <w:pPr>
              <w:rPr>
                <w:sz w:val="24"/>
                <w:szCs w:val="24"/>
              </w:rPr>
            </w:pPr>
            <w:r>
              <w:rPr>
                <w:sz w:val="24"/>
                <w:szCs w:val="24"/>
              </w:rPr>
              <w:t>“</w:t>
            </w:r>
            <w:hyperlink r:id="rId5" w:history="1">
              <w:r w:rsidR="008E055B" w:rsidRPr="008E055B">
                <w:rPr>
                  <w:rStyle w:val="Hyperlink"/>
                  <w:sz w:val="24"/>
                  <w:szCs w:val="24"/>
                </w:rPr>
                <w:t>Civil Contempt and ‘Springing’ Orders for Arrest</w:t>
              </w:r>
            </w:hyperlink>
            <w:r w:rsidR="008E055B" w:rsidRPr="008E055B">
              <w:rPr>
                <w:sz w:val="24"/>
                <w:szCs w:val="24"/>
              </w:rPr>
              <w:t xml:space="preserve">,” UNC School of Government’s </w:t>
            </w:r>
            <w:r w:rsidR="008E055B" w:rsidRPr="008E055B">
              <w:rPr>
                <w:i/>
                <w:iCs/>
                <w:sz w:val="24"/>
                <w:szCs w:val="24"/>
              </w:rPr>
              <w:t>On</w:t>
            </w:r>
            <w:r w:rsidR="008E055B" w:rsidRPr="008E055B">
              <w:rPr>
                <w:sz w:val="24"/>
                <w:szCs w:val="24"/>
              </w:rPr>
              <w:t xml:space="preserve"> </w:t>
            </w:r>
            <w:r w:rsidR="008E055B" w:rsidRPr="008E055B">
              <w:rPr>
                <w:i/>
                <w:iCs/>
                <w:sz w:val="24"/>
                <w:szCs w:val="24"/>
              </w:rPr>
              <w:t>the Civil Side</w:t>
            </w:r>
            <w:r w:rsidR="008E055B" w:rsidRPr="008E055B">
              <w:rPr>
                <w:sz w:val="24"/>
                <w:szCs w:val="24"/>
              </w:rPr>
              <w:t xml:space="preserve"> Blog, with support from Professor Cheryl Howell.</w:t>
            </w:r>
          </w:p>
        </w:tc>
      </w:tr>
      <w:tr w:rsidR="00C036B9" w14:paraId="3530C18B" w14:textId="77777777" w:rsidTr="008E055B">
        <w:trPr>
          <w:trHeight w:val="60"/>
        </w:trPr>
        <w:tc>
          <w:tcPr>
            <w:tcW w:w="9240" w:type="dxa"/>
            <w:gridSpan w:val="2"/>
          </w:tcPr>
          <w:p w14:paraId="77D8047A" w14:textId="77777777" w:rsidR="00C036B9" w:rsidRPr="008E055B" w:rsidRDefault="00011C0C">
            <w:pPr>
              <w:pBdr>
                <w:bottom w:val="single" w:sz="6" w:space="1" w:color="808080"/>
              </w:pBdr>
              <w:spacing w:before="220"/>
              <w:jc w:val="left"/>
              <w:rPr>
                <w:smallCaps/>
                <w:sz w:val="24"/>
                <w:szCs w:val="24"/>
              </w:rPr>
            </w:pPr>
            <w:r w:rsidRPr="008E055B">
              <w:rPr>
                <w:b/>
                <w:smallCaps/>
                <w:sz w:val="24"/>
                <w:szCs w:val="24"/>
              </w:rPr>
              <w:t xml:space="preserve">INTERESTS </w:t>
            </w:r>
          </w:p>
        </w:tc>
      </w:tr>
      <w:tr w:rsidR="00C036B9" w14:paraId="57616B95" w14:textId="77777777" w:rsidTr="008E055B">
        <w:trPr>
          <w:trHeight w:val="340"/>
        </w:trPr>
        <w:tc>
          <w:tcPr>
            <w:tcW w:w="658" w:type="dxa"/>
          </w:tcPr>
          <w:p w14:paraId="2A7DC9D7" w14:textId="77777777" w:rsidR="00C036B9" w:rsidRPr="008E055B" w:rsidRDefault="00C036B9">
            <w:pPr>
              <w:rPr>
                <w:sz w:val="24"/>
                <w:szCs w:val="24"/>
              </w:rPr>
            </w:pPr>
          </w:p>
        </w:tc>
        <w:tc>
          <w:tcPr>
            <w:tcW w:w="8582" w:type="dxa"/>
          </w:tcPr>
          <w:p w14:paraId="4DAFFF8C" w14:textId="77777777" w:rsidR="00C036B9" w:rsidRPr="008E055B" w:rsidRDefault="00011C0C" w:rsidP="00170B5A">
            <w:pPr>
              <w:rPr>
                <w:sz w:val="24"/>
                <w:szCs w:val="24"/>
              </w:rPr>
            </w:pPr>
            <w:r w:rsidRPr="008E055B">
              <w:rPr>
                <w:sz w:val="24"/>
                <w:szCs w:val="24"/>
              </w:rPr>
              <w:t xml:space="preserve">Poetry, Yoga and Meditation, Literature, </w:t>
            </w:r>
            <w:r w:rsidR="0021415B" w:rsidRPr="008E055B">
              <w:rPr>
                <w:sz w:val="24"/>
                <w:szCs w:val="24"/>
              </w:rPr>
              <w:t xml:space="preserve">Soccer, </w:t>
            </w:r>
            <w:r w:rsidRPr="008E055B">
              <w:rPr>
                <w:sz w:val="24"/>
                <w:szCs w:val="24"/>
              </w:rPr>
              <w:t>Magic the Gathering</w:t>
            </w:r>
          </w:p>
          <w:p w14:paraId="36B4F680" w14:textId="58D06498" w:rsidR="00170B5A" w:rsidRPr="008E055B" w:rsidRDefault="00170B5A">
            <w:pPr>
              <w:ind w:left="772"/>
              <w:rPr>
                <w:sz w:val="24"/>
                <w:szCs w:val="24"/>
              </w:rPr>
            </w:pPr>
          </w:p>
        </w:tc>
      </w:tr>
    </w:tbl>
    <w:p w14:paraId="4F692039" w14:textId="77777777" w:rsidR="00C036B9" w:rsidRDefault="00C036B9"/>
    <w:sectPr w:rsidR="00C036B9">
      <w:pgSz w:w="12240" w:h="15840"/>
      <w:pgMar w:top="374" w:right="1800" w:bottom="187"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B9"/>
    <w:rsid w:val="00011C0C"/>
    <w:rsid w:val="00026F6A"/>
    <w:rsid w:val="000768A9"/>
    <w:rsid w:val="00170B5A"/>
    <w:rsid w:val="0021415B"/>
    <w:rsid w:val="0032258B"/>
    <w:rsid w:val="003276FC"/>
    <w:rsid w:val="003A51EF"/>
    <w:rsid w:val="003B0135"/>
    <w:rsid w:val="004024FB"/>
    <w:rsid w:val="004C7143"/>
    <w:rsid w:val="00895E45"/>
    <w:rsid w:val="008E055B"/>
    <w:rsid w:val="00C036B9"/>
    <w:rsid w:val="00DD048F"/>
    <w:rsid w:val="00F13996"/>
    <w:rsid w:val="00F8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217D"/>
  <w15:docId w15:val="{AF9EC80E-8F5D-40B7-A9B9-8811DBE6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color w:val="000000"/>
        <w:sz w:val="22"/>
        <w:szCs w:val="22"/>
        <w:lang w:val="en-US" w:eastAsia="en-US" w:bidi="ar-SA"/>
      </w:rPr>
    </w:rPrDefault>
    <w:pPrDefault>
      <w:pPr>
        <w:pBdr>
          <w:top w:val="nil"/>
          <w:left w:val="nil"/>
          <w:bottom w:val="nil"/>
          <w:right w:val="nil"/>
          <w:between w:val="nil"/>
        </w:pBd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240"/>
      <w:ind w:left="-2160"/>
      <w:jc w:val="left"/>
      <w:outlineLvl w:val="0"/>
    </w:pPr>
    <w:rPr>
      <w:smallCaps/>
      <w:sz w:val="23"/>
      <w:szCs w:val="23"/>
    </w:rPr>
  </w:style>
  <w:style w:type="paragraph" w:styleId="Heading2">
    <w:name w:val="heading 2"/>
    <w:basedOn w:val="Normal"/>
    <w:next w:val="Normal"/>
    <w:pPr>
      <w:keepNext/>
      <w:keepLines/>
      <w:spacing w:before="240" w:after="240"/>
      <w:jc w:val="left"/>
      <w:outlineLvl w:val="1"/>
    </w:pPr>
    <w:rPr>
      <w:smallCaps/>
      <w:sz w:val="20"/>
      <w:szCs w:val="20"/>
    </w:rPr>
  </w:style>
  <w:style w:type="paragraph" w:styleId="Heading3">
    <w:name w:val="heading 3"/>
    <w:basedOn w:val="Normal"/>
    <w:next w:val="Normal"/>
    <w:pPr>
      <w:keepNext/>
      <w:keepLines/>
      <w:spacing w:before="240" w:after="220"/>
      <w:jc w:val="left"/>
      <w:outlineLvl w:val="2"/>
    </w:pPr>
    <w:rPr>
      <w:i/>
      <w:smallCaps/>
      <w:sz w:val="20"/>
      <w:szCs w:val="20"/>
    </w:rPr>
  </w:style>
  <w:style w:type="paragraph" w:styleId="Heading4">
    <w:name w:val="heading 4"/>
    <w:basedOn w:val="Normal"/>
    <w:next w:val="Normal"/>
    <w:pPr>
      <w:keepNext/>
      <w:keepLines/>
      <w:spacing w:before="240"/>
      <w:jc w:val="left"/>
      <w:outlineLvl w:val="3"/>
    </w:pPr>
    <w:rPr>
      <w:i/>
      <w:sz w:val="24"/>
      <w:szCs w:val="24"/>
    </w:rPr>
  </w:style>
  <w:style w:type="paragraph" w:styleId="Heading5">
    <w:name w:val="heading 5"/>
    <w:basedOn w:val="Normal"/>
    <w:next w:val="Normal"/>
    <w:pPr>
      <w:keepNext/>
      <w:keepLines/>
      <w:spacing w:before="240" w:after="220"/>
      <w:jc w:val="left"/>
      <w:outlineLvl w:val="4"/>
    </w:pPr>
    <w:rPr>
      <w:b/>
      <w:smallCaps/>
      <w:sz w:val="18"/>
      <w:szCs w:val="18"/>
    </w:rPr>
  </w:style>
  <w:style w:type="paragraph" w:styleId="Heading6">
    <w:name w:val="heading 6"/>
    <w:basedOn w:val="Normal"/>
    <w:next w:val="Normal"/>
    <w:pPr>
      <w:spacing w:before="2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170B5A"/>
    <w:rPr>
      <w:color w:val="0000FF" w:themeColor="hyperlink"/>
      <w:u w:val="single"/>
    </w:rPr>
  </w:style>
  <w:style w:type="character" w:styleId="UnresolvedMention">
    <w:name w:val="Unresolved Mention"/>
    <w:basedOn w:val="DefaultParagraphFont"/>
    <w:uiPriority w:val="99"/>
    <w:semiHidden/>
    <w:unhideWhenUsed/>
    <w:rsid w:val="00170B5A"/>
    <w:rPr>
      <w:color w:val="605E5C"/>
      <w:shd w:val="clear" w:color="auto" w:fill="E1DFDD"/>
    </w:rPr>
  </w:style>
  <w:style w:type="character" w:styleId="FollowedHyperlink">
    <w:name w:val="FollowedHyperlink"/>
    <w:basedOn w:val="DefaultParagraphFont"/>
    <w:uiPriority w:val="99"/>
    <w:semiHidden/>
    <w:unhideWhenUsed/>
    <w:rsid w:val="00170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067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ivil.sog.unc.edu/civil-contempt-and-springing-orders-for-arrest/" TargetMode="External"/><Relationship Id="rId4" Type="http://schemas.openxmlformats.org/officeDocument/2006/relationships/hyperlink" Target="mailto:dannyspiegel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Spiegel, Daniel L.</dc:creator>
  <cp:lastModifiedBy>Spiegel, Daniel Lawrence</cp:lastModifiedBy>
  <cp:revision>9</cp:revision>
  <dcterms:created xsi:type="dcterms:W3CDTF">2023-07-04T23:54:00Z</dcterms:created>
  <dcterms:modified xsi:type="dcterms:W3CDTF">2024-01-09T18:17:00Z</dcterms:modified>
</cp:coreProperties>
</file>