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89" w:rsidRPr="00AB78DB" w:rsidRDefault="00943589" w:rsidP="00943589">
      <w:pPr>
        <w:spacing w:after="0"/>
        <w:jc w:val="center"/>
        <w:rPr>
          <w:b/>
        </w:rPr>
      </w:pPr>
      <w:r w:rsidRPr="00AB78DB">
        <w:rPr>
          <w:b/>
        </w:rPr>
        <w:t>Selected North Carolina General Statutes</w:t>
      </w:r>
    </w:p>
    <w:p w:rsidR="00943589" w:rsidRPr="00AB78DB" w:rsidRDefault="00943589" w:rsidP="00943589">
      <w:pPr>
        <w:spacing w:after="0"/>
        <w:jc w:val="center"/>
        <w:rPr>
          <w:b/>
        </w:rPr>
      </w:pPr>
      <w:r w:rsidRPr="00AB78DB">
        <w:rPr>
          <w:b/>
        </w:rPr>
        <w:t>Affecting Confidentiality of NC Local Health Department Records</w:t>
      </w:r>
    </w:p>
    <w:p w:rsidR="009A46C0" w:rsidRPr="00AB78DB" w:rsidRDefault="009A46C0" w:rsidP="00943589">
      <w:pPr>
        <w:spacing w:after="0"/>
      </w:pPr>
    </w:p>
    <w:p w:rsidR="00943589" w:rsidRPr="00AB78DB" w:rsidRDefault="00943589" w:rsidP="00943589">
      <w:pPr>
        <w:spacing w:after="0"/>
        <w:rPr>
          <w:i/>
        </w:rPr>
      </w:pPr>
      <w:r w:rsidRPr="00AB78DB">
        <w:rPr>
          <w:i/>
        </w:rPr>
        <w:t>Privilege Laws</w:t>
      </w:r>
    </w:p>
    <w:p w:rsidR="00943589" w:rsidRPr="00AB78DB" w:rsidRDefault="00943589" w:rsidP="00943589">
      <w:pPr>
        <w:pStyle w:val="asection"/>
        <w:spacing w:before="0" w:beforeAutospacing="0" w:after="0" w:afterAutospacing="0"/>
        <w:ind w:left="1080" w:hanging="1080"/>
        <w:jc w:val="both"/>
        <w:rPr>
          <w:rFonts w:asciiTheme="minorHAnsi" w:hAnsiTheme="minorHAnsi"/>
          <w:b/>
          <w:bCs/>
          <w:color w:val="000000"/>
          <w:sz w:val="22"/>
          <w:szCs w:val="22"/>
        </w:rPr>
      </w:pPr>
      <w:proofErr w:type="gramStart"/>
      <w:r w:rsidRPr="00AB78DB">
        <w:rPr>
          <w:rFonts w:asciiTheme="minorHAnsi" w:hAnsiTheme="minorHAnsi"/>
          <w:b/>
          <w:bCs/>
          <w:color w:val="000000"/>
          <w:sz w:val="22"/>
          <w:szCs w:val="22"/>
        </w:rPr>
        <w:t>§ 8</w:t>
      </w:r>
      <w:r w:rsidRPr="00AB78DB">
        <w:rPr>
          <w:rFonts w:asciiTheme="minorHAnsi" w:hAnsiTheme="minorHAnsi"/>
          <w:b/>
          <w:bCs/>
          <w:color w:val="000000"/>
          <w:sz w:val="22"/>
          <w:szCs w:val="22"/>
        </w:rPr>
        <w:noBreakHyphen/>
        <w:t>53.</w:t>
      </w:r>
      <w:proofErr w:type="gramEnd"/>
      <w:r w:rsidRPr="00AB78DB">
        <w:rPr>
          <w:rFonts w:asciiTheme="minorHAnsi" w:hAnsiTheme="minorHAnsi"/>
          <w:b/>
          <w:bCs/>
          <w:color w:val="000000"/>
          <w:sz w:val="22"/>
          <w:szCs w:val="22"/>
        </w:rPr>
        <w:t xml:space="preserve">  </w:t>
      </w:r>
      <w:proofErr w:type="gramStart"/>
      <w:r w:rsidRPr="00AB78DB">
        <w:rPr>
          <w:rFonts w:asciiTheme="minorHAnsi" w:hAnsiTheme="minorHAnsi"/>
          <w:b/>
          <w:bCs/>
          <w:color w:val="000000"/>
          <w:sz w:val="22"/>
          <w:szCs w:val="22"/>
        </w:rPr>
        <w:t>Communications between physician and patient.</w:t>
      </w:r>
      <w:proofErr w:type="gramEnd"/>
    </w:p>
    <w:p w:rsidR="00943589" w:rsidRPr="00AB78DB" w:rsidRDefault="00943589" w:rsidP="00943589">
      <w:pPr>
        <w:pStyle w:val="amargin1"/>
        <w:spacing w:before="0" w:beforeAutospacing="0" w:after="0" w:afterAutospacing="0"/>
        <w:ind w:firstLine="360"/>
        <w:jc w:val="both"/>
        <w:rPr>
          <w:rFonts w:asciiTheme="minorHAnsi" w:hAnsiTheme="minorHAnsi"/>
          <w:color w:val="000000"/>
          <w:sz w:val="22"/>
          <w:szCs w:val="22"/>
        </w:rPr>
      </w:pPr>
      <w:r w:rsidRPr="00AB78DB">
        <w:rPr>
          <w:rFonts w:asciiTheme="minorHAnsi" w:hAnsiTheme="minorHAnsi"/>
          <w:color w:val="000000"/>
          <w:sz w:val="22"/>
          <w:szCs w:val="22"/>
        </w:rPr>
        <w:t>No person, duly authorized to practice physic or surgery, shall be required to disclose any information which he may have acquired in attending a patient in a professional character, and which information was necessary to enable him to prescribe for such patient as a physician, or to do any act for him as a surgeon, and no such information shall be considered public records under G.S. 132</w:t>
      </w:r>
      <w:r w:rsidRPr="00AB78DB">
        <w:rPr>
          <w:rFonts w:asciiTheme="minorHAnsi" w:hAnsiTheme="minorHAnsi"/>
          <w:color w:val="000000"/>
          <w:sz w:val="22"/>
          <w:szCs w:val="22"/>
        </w:rPr>
        <w:noBreakHyphen/>
        <w:t xml:space="preserve">1. Confidential information obtained in medical records shall be furnished only on the authorization of the patient, or if deceased, the executor, administrator, or, in the case of </w:t>
      </w:r>
      <w:proofErr w:type="spellStart"/>
      <w:r w:rsidRPr="00AB78DB">
        <w:rPr>
          <w:rFonts w:asciiTheme="minorHAnsi" w:hAnsiTheme="minorHAnsi"/>
          <w:color w:val="000000"/>
          <w:sz w:val="22"/>
          <w:szCs w:val="22"/>
        </w:rPr>
        <w:t>unadministered</w:t>
      </w:r>
      <w:proofErr w:type="spellEnd"/>
      <w:r w:rsidRPr="00AB78DB">
        <w:rPr>
          <w:rFonts w:asciiTheme="minorHAnsi" w:hAnsiTheme="minorHAnsi"/>
          <w:color w:val="000000"/>
          <w:sz w:val="22"/>
          <w:szCs w:val="22"/>
        </w:rPr>
        <w:t xml:space="preserve"> estates, the next of kin. Any resident or presiding judge in the district, either at the trial or prior thereto, or the Industrial Commission pursuant to law may, subject to G.S. 8</w:t>
      </w:r>
      <w:r w:rsidRPr="00AB78DB">
        <w:rPr>
          <w:rFonts w:asciiTheme="minorHAnsi" w:hAnsiTheme="minorHAnsi"/>
          <w:color w:val="000000"/>
          <w:sz w:val="22"/>
          <w:szCs w:val="22"/>
        </w:rPr>
        <w:noBreakHyphen/>
        <w:t>53.6, compel disclosure if in his opinion disclosure is necessary to a proper administration of justice. If the case is in district court the judge</w:t>
      </w:r>
      <w:proofErr w:type="gramStart"/>
      <w:r w:rsidRPr="00AB78DB">
        <w:rPr>
          <w:rFonts w:asciiTheme="minorHAnsi" w:hAnsiTheme="minorHAnsi"/>
          <w:color w:val="000000"/>
          <w:sz w:val="22"/>
          <w:szCs w:val="22"/>
        </w:rPr>
        <w:t>  shall</w:t>
      </w:r>
      <w:proofErr w:type="gramEnd"/>
      <w:r w:rsidRPr="00AB78DB">
        <w:rPr>
          <w:rFonts w:asciiTheme="minorHAnsi" w:hAnsiTheme="minorHAnsi"/>
          <w:color w:val="000000"/>
          <w:sz w:val="22"/>
          <w:szCs w:val="22"/>
        </w:rPr>
        <w:t xml:space="preserve"> be a district court judge, and if the case is in superior court the judge shall be a superior court judge.</w:t>
      </w:r>
      <w:r w:rsidRPr="00AB78DB">
        <w:rPr>
          <w:rStyle w:val="apple-converted-space"/>
          <w:rFonts w:asciiTheme="minorHAnsi" w:hAnsiTheme="minorHAnsi"/>
          <w:color w:val="000000"/>
          <w:sz w:val="22"/>
          <w:szCs w:val="22"/>
        </w:rPr>
        <w:t> </w:t>
      </w:r>
      <w:bookmarkStart w:id="0" w:name="HistoryNote"/>
      <w:proofErr w:type="gramStart"/>
      <w:r w:rsidRPr="00AB78DB">
        <w:rPr>
          <w:rStyle w:val="chistorynote"/>
          <w:rFonts w:asciiTheme="minorHAnsi" w:hAnsiTheme="minorHAnsi"/>
          <w:color w:val="000000"/>
          <w:sz w:val="22"/>
          <w:szCs w:val="22"/>
        </w:rPr>
        <w:t>(1885, c. 159; Rev., s. 1621; C.S., s. 1798; 1969, c. 914; 1977, c. 1118; 1983, c. 410, ss. 1, 2; c. 471.)</w:t>
      </w:r>
      <w:bookmarkEnd w:id="0"/>
      <w:proofErr w:type="gramEnd"/>
    </w:p>
    <w:p w:rsidR="00943589" w:rsidRPr="00AB78DB" w:rsidRDefault="00943589" w:rsidP="00943589">
      <w:pPr>
        <w:spacing w:after="0"/>
      </w:pPr>
    </w:p>
    <w:p w:rsidR="00943589" w:rsidRPr="00AB78DB" w:rsidRDefault="00943589" w:rsidP="00943589">
      <w:pPr>
        <w:pStyle w:val="asection"/>
        <w:spacing w:before="0" w:beforeAutospacing="0" w:after="0" w:afterAutospacing="0"/>
        <w:ind w:left="1080" w:hanging="1080"/>
        <w:jc w:val="both"/>
        <w:rPr>
          <w:rFonts w:asciiTheme="minorHAnsi" w:hAnsiTheme="minorHAnsi"/>
          <w:b/>
          <w:bCs/>
          <w:color w:val="000000"/>
          <w:sz w:val="22"/>
          <w:szCs w:val="22"/>
        </w:rPr>
      </w:pPr>
      <w:proofErr w:type="gramStart"/>
      <w:r w:rsidRPr="00AB78DB">
        <w:rPr>
          <w:rFonts w:asciiTheme="minorHAnsi" w:hAnsiTheme="minorHAnsi"/>
          <w:b/>
          <w:bCs/>
          <w:color w:val="000000"/>
          <w:sz w:val="22"/>
          <w:szCs w:val="22"/>
        </w:rPr>
        <w:t>§ 8</w:t>
      </w:r>
      <w:r w:rsidRPr="00AB78DB">
        <w:rPr>
          <w:rFonts w:asciiTheme="minorHAnsi" w:hAnsiTheme="minorHAnsi"/>
          <w:b/>
          <w:bCs/>
          <w:color w:val="000000"/>
          <w:sz w:val="22"/>
          <w:szCs w:val="22"/>
        </w:rPr>
        <w:noBreakHyphen/>
        <w:t>53.13.</w:t>
      </w:r>
      <w:proofErr w:type="gramEnd"/>
      <w:r w:rsidRPr="00AB78DB">
        <w:rPr>
          <w:rFonts w:asciiTheme="minorHAnsi" w:hAnsiTheme="minorHAnsi"/>
          <w:b/>
          <w:bCs/>
          <w:color w:val="000000"/>
          <w:sz w:val="22"/>
          <w:szCs w:val="22"/>
        </w:rPr>
        <w:t xml:space="preserve">  </w:t>
      </w:r>
      <w:proofErr w:type="gramStart"/>
      <w:r w:rsidRPr="00AB78DB">
        <w:rPr>
          <w:rFonts w:asciiTheme="minorHAnsi" w:hAnsiTheme="minorHAnsi"/>
          <w:b/>
          <w:bCs/>
          <w:color w:val="000000"/>
          <w:sz w:val="22"/>
          <w:szCs w:val="22"/>
        </w:rPr>
        <w:t>Nurse privilege.</w:t>
      </w:r>
      <w:proofErr w:type="gramEnd"/>
    </w:p>
    <w:p w:rsidR="00943589" w:rsidRPr="00AB78DB" w:rsidRDefault="00943589" w:rsidP="00943589">
      <w:pPr>
        <w:pStyle w:val="amargin1"/>
        <w:spacing w:before="0" w:beforeAutospacing="0" w:after="0" w:afterAutospacing="0"/>
        <w:ind w:firstLine="360"/>
        <w:jc w:val="both"/>
        <w:rPr>
          <w:rFonts w:asciiTheme="minorHAnsi" w:hAnsiTheme="minorHAnsi"/>
          <w:color w:val="000000"/>
          <w:sz w:val="22"/>
          <w:szCs w:val="22"/>
        </w:rPr>
      </w:pPr>
      <w:r w:rsidRPr="00AB78DB">
        <w:rPr>
          <w:rFonts w:asciiTheme="minorHAnsi" w:hAnsiTheme="minorHAnsi"/>
          <w:color w:val="000000"/>
          <w:sz w:val="22"/>
          <w:szCs w:val="22"/>
        </w:rPr>
        <w:t>No person licensed pursuant to Article 9A of Chapter 90 of the General Statutes shall be required to disclose any information that may have been acquired in rendering professional nursing services, and which information was necessary to enable that person to render professional nursing services, except that the presiding judge of a superior or district court may compel disclosure if, in the court's opinion, disclosure is necessary to a proper administration of justice and disclosure is not prohibited by other statute or rule. Nothing in this section shall preclude the admission of otherwise admissible written or printed medical records in any judicial proceeding, in accordance with the procedure set forth in G.S. 8</w:t>
      </w:r>
      <w:r w:rsidRPr="00AB78DB">
        <w:rPr>
          <w:rFonts w:asciiTheme="minorHAnsi" w:hAnsiTheme="minorHAnsi"/>
          <w:color w:val="000000"/>
          <w:sz w:val="22"/>
          <w:szCs w:val="22"/>
        </w:rPr>
        <w:noBreakHyphen/>
        <w:t>44.1, after a determination by the court that disclosure should be compelled as set forth herein.</w:t>
      </w:r>
      <w:r w:rsidRPr="00AB78DB">
        <w:rPr>
          <w:rStyle w:val="apple-converted-space"/>
          <w:rFonts w:asciiTheme="minorHAnsi" w:hAnsiTheme="minorHAnsi"/>
          <w:color w:val="000000"/>
          <w:sz w:val="22"/>
          <w:szCs w:val="22"/>
        </w:rPr>
        <w:t> </w:t>
      </w:r>
      <w:proofErr w:type="gramStart"/>
      <w:r w:rsidRPr="00AB78DB">
        <w:rPr>
          <w:rStyle w:val="chistorynote"/>
          <w:rFonts w:asciiTheme="minorHAnsi" w:hAnsiTheme="minorHAnsi"/>
          <w:color w:val="000000"/>
          <w:sz w:val="22"/>
          <w:szCs w:val="22"/>
        </w:rPr>
        <w:t>(2003</w:t>
      </w:r>
      <w:r w:rsidRPr="00AB78DB">
        <w:rPr>
          <w:rStyle w:val="chistorynote"/>
          <w:rFonts w:asciiTheme="minorHAnsi" w:hAnsiTheme="minorHAnsi"/>
          <w:color w:val="000000"/>
          <w:sz w:val="22"/>
          <w:szCs w:val="22"/>
        </w:rPr>
        <w:noBreakHyphen/>
        <w:t>342, s. 1; 2004</w:t>
      </w:r>
      <w:r w:rsidRPr="00AB78DB">
        <w:rPr>
          <w:rStyle w:val="chistorynote"/>
          <w:rFonts w:asciiTheme="minorHAnsi" w:hAnsiTheme="minorHAnsi"/>
          <w:color w:val="000000"/>
          <w:sz w:val="22"/>
          <w:szCs w:val="22"/>
        </w:rPr>
        <w:noBreakHyphen/>
        <w:t>186, s. 16.1.)</w:t>
      </w:r>
      <w:proofErr w:type="gramEnd"/>
    </w:p>
    <w:p w:rsidR="00943589" w:rsidRPr="00AB78DB" w:rsidRDefault="00943589" w:rsidP="00943589">
      <w:pPr>
        <w:spacing w:after="0"/>
      </w:pPr>
    </w:p>
    <w:p w:rsidR="00943589" w:rsidRPr="00AB78DB" w:rsidRDefault="00943589" w:rsidP="00943589">
      <w:pPr>
        <w:spacing w:after="0"/>
        <w:rPr>
          <w:i/>
        </w:rPr>
      </w:pPr>
      <w:r w:rsidRPr="00AB78DB">
        <w:rPr>
          <w:i/>
        </w:rPr>
        <w:t>Public Health Patient Confidentiality</w:t>
      </w:r>
    </w:p>
    <w:p w:rsidR="00943589" w:rsidRPr="00AB78DB" w:rsidRDefault="00943589" w:rsidP="00943589">
      <w:pPr>
        <w:pStyle w:val="asection"/>
        <w:spacing w:before="0" w:beforeAutospacing="0" w:after="0" w:afterAutospacing="0"/>
        <w:ind w:left="1080" w:hanging="1080"/>
        <w:jc w:val="both"/>
        <w:rPr>
          <w:rFonts w:asciiTheme="minorHAnsi" w:hAnsiTheme="minorHAnsi"/>
          <w:b/>
          <w:bCs/>
          <w:color w:val="000000"/>
          <w:sz w:val="22"/>
          <w:szCs w:val="22"/>
        </w:rPr>
      </w:pPr>
      <w:proofErr w:type="gramStart"/>
      <w:r w:rsidRPr="00AB78DB">
        <w:rPr>
          <w:rFonts w:asciiTheme="minorHAnsi" w:hAnsiTheme="minorHAnsi"/>
          <w:b/>
          <w:bCs/>
          <w:color w:val="000000"/>
          <w:sz w:val="22"/>
          <w:szCs w:val="22"/>
        </w:rPr>
        <w:t>§ 130A</w:t>
      </w:r>
      <w:r w:rsidRPr="00AB78DB">
        <w:rPr>
          <w:rFonts w:asciiTheme="minorHAnsi" w:hAnsiTheme="minorHAnsi"/>
          <w:b/>
          <w:bCs/>
          <w:color w:val="000000"/>
          <w:sz w:val="22"/>
          <w:szCs w:val="22"/>
        </w:rPr>
        <w:noBreakHyphen/>
        <w:t>12.</w:t>
      </w:r>
      <w:proofErr w:type="gramEnd"/>
      <w:r w:rsidRPr="00AB78DB">
        <w:rPr>
          <w:rFonts w:asciiTheme="minorHAnsi" w:hAnsiTheme="minorHAnsi"/>
          <w:b/>
          <w:bCs/>
          <w:color w:val="000000"/>
          <w:sz w:val="22"/>
          <w:szCs w:val="22"/>
        </w:rPr>
        <w:t xml:space="preserve">  </w:t>
      </w:r>
      <w:proofErr w:type="gramStart"/>
      <w:r w:rsidRPr="00AB78DB">
        <w:rPr>
          <w:rFonts w:asciiTheme="minorHAnsi" w:hAnsiTheme="minorHAnsi"/>
          <w:b/>
          <w:bCs/>
          <w:color w:val="000000"/>
          <w:sz w:val="22"/>
          <w:szCs w:val="22"/>
        </w:rPr>
        <w:t>Confidentiality of records.</w:t>
      </w:r>
      <w:proofErr w:type="gramEnd"/>
    </w:p>
    <w:p w:rsidR="00943589" w:rsidRPr="00AB78DB" w:rsidRDefault="00943589" w:rsidP="00943589">
      <w:pPr>
        <w:pStyle w:val="amargin1"/>
        <w:spacing w:before="0" w:beforeAutospacing="0" w:after="0" w:afterAutospacing="0"/>
        <w:ind w:firstLine="360"/>
        <w:jc w:val="both"/>
        <w:rPr>
          <w:rFonts w:asciiTheme="minorHAnsi" w:hAnsiTheme="minorHAnsi"/>
          <w:color w:val="000000"/>
          <w:sz w:val="22"/>
          <w:szCs w:val="22"/>
        </w:rPr>
      </w:pPr>
      <w:r w:rsidRPr="00AB78DB">
        <w:rPr>
          <w:rFonts w:asciiTheme="minorHAnsi" w:hAnsiTheme="minorHAnsi"/>
          <w:color w:val="000000"/>
          <w:sz w:val="22"/>
          <w:szCs w:val="22"/>
        </w:rPr>
        <w:t>All records containing privileged patient medical information, information protected under 45 Code of Federal Regulations Parts 160 and 164, and information collected under the authority of Part 4 of Article 5 of this Chapter that are in the possession of the Department of Health and Human Services or local health departments shall be confidential and shall not be public records pursuant to G.S. 132</w:t>
      </w:r>
      <w:r w:rsidRPr="00AB78DB">
        <w:rPr>
          <w:rFonts w:asciiTheme="minorHAnsi" w:hAnsiTheme="minorHAnsi"/>
          <w:color w:val="000000"/>
          <w:sz w:val="22"/>
          <w:szCs w:val="22"/>
        </w:rPr>
        <w:noBreakHyphen/>
        <w:t>1. Notwithstanding G.S. 8</w:t>
      </w:r>
      <w:r w:rsidRPr="00AB78DB">
        <w:rPr>
          <w:rFonts w:asciiTheme="minorHAnsi" w:hAnsiTheme="minorHAnsi"/>
          <w:color w:val="000000"/>
          <w:sz w:val="22"/>
          <w:szCs w:val="22"/>
        </w:rPr>
        <w:noBreakHyphen/>
        <w:t>53, the information contained in the records may be disclosed for purposes of treatment, payment, research, or health care operations to the extent that disclosure is permitted under 45 Code of Federal Regulations §§ 164.506 and 164.512(</w:t>
      </w:r>
      <w:proofErr w:type="spellStart"/>
      <w:r w:rsidRPr="00AB78DB">
        <w:rPr>
          <w:rFonts w:asciiTheme="minorHAnsi" w:hAnsiTheme="minorHAnsi"/>
          <w:color w:val="000000"/>
          <w:sz w:val="22"/>
          <w:szCs w:val="22"/>
        </w:rPr>
        <w:t>i</w:t>
      </w:r>
      <w:proofErr w:type="spellEnd"/>
      <w:r w:rsidRPr="00AB78DB">
        <w:rPr>
          <w:rFonts w:asciiTheme="minorHAnsi" w:hAnsiTheme="minorHAnsi"/>
          <w:color w:val="000000"/>
          <w:sz w:val="22"/>
          <w:szCs w:val="22"/>
        </w:rPr>
        <w:t>). For purposes of this section, the terms "treatment," "payment," "research," and "health care operations" have the meanings given those terms in 45 Code of Federal Regulations § 164.501.</w:t>
      </w:r>
      <w:r w:rsidRPr="00AB78DB">
        <w:rPr>
          <w:rStyle w:val="apple-converted-space"/>
          <w:rFonts w:asciiTheme="minorHAnsi" w:hAnsiTheme="minorHAnsi"/>
          <w:color w:val="000000"/>
          <w:sz w:val="22"/>
          <w:szCs w:val="22"/>
        </w:rPr>
        <w:t> </w:t>
      </w:r>
      <w:r w:rsidRPr="00AB78DB">
        <w:rPr>
          <w:rStyle w:val="chistorynote"/>
          <w:rFonts w:asciiTheme="minorHAnsi" w:hAnsiTheme="minorHAnsi"/>
          <w:color w:val="000000"/>
          <w:sz w:val="22"/>
          <w:szCs w:val="22"/>
        </w:rPr>
        <w:t> (1985, c. 470, s. 2; 1991 (Reg. Sess., 1992), c. 890, s. 9; 1995, c. 428, s. 1.1; 2004</w:t>
      </w:r>
      <w:r w:rsidRPr="00AB78DB">
        <w:rPr>
          <w:rStyle w:val="chistorynote"/>
          <w:rFonts w:asciiTheme="minorHAnsi" w:hAnsiTheme="minorHAnsi"/>
          <w:color w:val="000000"/>
          <w:sz w:val="22"/>
          <w:szCs w:val="22"/>
        </w:rPr>
        <w:noBreakHyphen/>
        <w:t>80, s. 4; 2006</w:t>
      </w:r>
      <w:r w:rsidRPr="00AB78DB">
        <w:rPr>
          <w:rStyle w:val="chistorynote"/>
          <w:rFonts w:asciiTheme="minorHAnsi" w:hAnsiTheme="minorHAnsi"/>
          <w:color w:val="000000"/>
          <w:sz w:val="22"/>
          <w:szCs w:val="22"/>
        </w:rPr>
        <w:noBreakHyphen/>
        <w:t>255, s. 13.2; 2011</w:t>
      </w:r>
      <w:r w:rsidRPr="00AB78DB">
        <w:rPr>
          <w:rStyle w:val="chistorynote"/>
          <w:rFonts w:asciiTheme="minorHAnsi" w:hAnsiTheme="minorHAnsi"/>
          <w:color w:val="000000"/>
          <w:sz w:val="22"/>
          <w:szCs w:val="22"/>
        </w:rPr>
        <w:noBreakHyphen/>
        <w:t>145, s. 13.3(</w:t>
      </w:r>
      <w:proofErr w:type="spellStart"/>
      <w:r w:rsidRPr="00AB78DB">
        <w:rPr>
          <w:rStyle w:val="chistorynote"/>
          <w:rFonts w:asciiTheme="minorHAnsi" w:hAnsiTheme="minorHAnsi"/>
          <w:color w:val="000000"/>
          <w:sz w:val="22"/>
          <w:szCs w:val="22"/>
        </w:rPr>
        <w:t>qq</w:t>
      </w:r>
      <w:proofErr w:type="spellEnd"/>
      <w:r w:rsidRPr="00AB78DB">
        <w:rPr>
          <w:rStyle w:val="chistorynote"/>
          <w:rFonts w:asciiTheme="minorHAnsi" w:hAnsiTheme="minorHAnsi"/>
          <w:color w:val="000000"/>
          <w:sz w:val="22"/>
          <w:szCs w:val="22"/>
        </w:rPr>
        <w:t>); 2011</w:t>
      </w:r>
      <w:r w:rsidRPr="00AB78DB">
        <w:rPr>
          <w:rStyle w:val="chistorynote"/>
          <w:rFonts w:asciiTheme="minorHAnsi" w:hAnsiTheme="minorHAnsi"/>
          <w:color w:val="000000"/>
          <w:sz w:val="22"/>
          <w:szCs w:val="22"/>
        </w:rPr>
        <w:noBreakHyphen/>
        <w:t>314, s. 3.)</w:t>
      </w:r>
    </w:p>
    <w:p w:rsidR="00943589" w:rsidRPr="00AB78DB" w:rsidRDefault="00943589" w:rsidP="00943589">
      <w:pPr>
        <w:spacing w:after="0"/>
      </w:pPr>
    </w:p>
    <w:p w:rsidR="00AB78DB" w:rsidRDefault="00AB78DB">
      <w:pPr>
        <w:rPr>
          <w:i/>
        </w:rPr>
      </w:pPr>
      <w:r>
        <w:rPr>
          <w:i/>
        </w:rPr>
        <w:br w:type="page"/>
      </w:r>
    </w:p>
    <w:p w:rsidR="00943589" w:rsidRPr="00AB78DB" w:rsidRDefault="00943589" w:rsidP="00943589">
      <w:pPr>
        <w:spacing w:after="0"/>
        <w:rPr>
          <w:i/>
        </w:rPr>
      </w:pPr>
      <w:r w:rsidRPr="00AB78DB">
        <w:rPr>
          <w:i/>
        </w:rPr>
        <w:lastRenderedPageBreak/>
        <w:t>Communicable Disease Confidentiality</w:t>
      </w:r>
    </w:p>
    <w:p w:rsidR="00943589" w:rsidRPr="00AB78DB" w:rsidRDefault="00943589" w:rsidP="00943589">
      <w:pPr>
        <w:pStyle w:val="asection"/>
        <w:spacing w:before="0" w:beforeAutospacing="0" w:after="0" w:afterAutospacing="0"/>
        <w:ind w:left="1080" w:hanging="1080"/>
        <w:jc w:val="both"/>
        <w:rPr>
          <w:rFonts w:asciiTheme="minorHAnsi" w:hAnsiTheme="minorHAnsi"/>
          <w:b/>
          <w:bCs/>
          <w:color w:val="000000"/>
          <w:sz w:val="22"/>
          <w:szCs w:val="22"/>
        </w:rPr>
      </w:pPr>
      <w:proofErr w:type="gramStart"/>
      <w:r w:rsidRPr="00AB78DB">
        <w:rPr>
          <w:rFonts w:asciiTheme="minorHAnsi" w:hAnsiTheme="minorHAnsi"/>
          <w:b/>
          <w:bCs/>
          <w:color w:val="000000"/>
          <w:sz w:val="22"/>
          <w:szCs w:val="22"/>
        </w:rPr>
        <w:t>§ 130A</w:t>
      </w:r>
      <w:r w:rsidRPr="00AB78DB">
        <w:rPr>
          <w:rFonts w:asciiTheme="minorHAnsi" w:hAnsiTheme="minorHAnsi"/>
          <w:b/>
          <w:bCs/>
          <w:color w:val="000000"/>
          <w:sz w:val="22"/>
          <w:szCs w:val="22"/>
        </w:rPr>
        <w:noBreakHyphen/>
        <w:t>143.</w:t>
      </w:r>
      <w:proofErr w:type="gramEnd"/>
      <w:r w:rsidRPr="00AB78DB">
        <w:rPr>
          <w:rFonts w:asciiTheme="minorHAnsi" w:hAnsiTheme="minorHAnsi"/>
          <w:b/>
          <w:bCs/>
          <w:color w:val="000000"/>
          <w:sz w:val="22"/>
          <w:szCs w:val="22"/>
        </w:rPr>
        <w:t xml:space="preserve">  </w:t>
      </w:r>
      <w:proofErr w:type="gramStart"/>
      <w:r w:rsidRPr="00AB78DB">
        <w:rPr>
          <w:rFonts w:asciiTheme="minorHAnsi" w:hAnsiTheme="minorHAnsi"/>
          <w:b/>
          <w:bCs/>
          <w:color w:val="000000"/>
          <w:sz w:val="22"/>
          <w:szCs w:val="22"/>
        </w:rPr>
        <w:t>Confidentiality of records.</w:t>
      </w:r>
      <w:proofErr w:type="gramEnd"/>
    </w:p>
    <w:p w:rsidR="00943589" w:rsidRPr="00AB78DB" w:rsidRDefault="00943589" w:rsidP="00943589">
      <w:pPr>
        <w:pStyle w:val="amargin1"/>
        <w:spacing w:before="0" w:beforeAutospacing="0" w:after="0" w:afterAutospacing="0"/>
        <w:ind w:firstLine="360"/>
        <w:jc w:val="both"/>
        <w:rPr>
          <w:rFonts w:asciiTheme="minorHAnsi" w:hAnsiTheme="minorHAnsi"/>
          <w:color w:val="000000"/>
          <w:sz w:val="22"/>
          <w:szCs w:val="22"/>
        </w:rPr>
      </w:pPr>
      <w:r w:rsidRPr="00AB78DB">
        <w:rPr>
          <w:rFonts w:asciiTheme="minorHAnsi" w:hAnsiTheme="minorHAnsi"/>
          <w:color w:val="000000"/>
          <w:sz w:val="22"/>
          <w:szCs w:val="22"/>
        </w:rPr>
        <w:t>All information and records, whether publicly or privately maintained, that identify a person who has AIDS virus infection or who has or may have a disease or condition required to be reported pursuant to the provisions of this Article shall be strictly confidential. This information shall not be released or made public except under the following circumstances:</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(1)        Release is made of specific medical or epidemiological information for statistical purposes in a way that no person can be identified;</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(2)        Release is made of all or part of the medical record with the written consent of the person or persons identified or their guardian;</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(3)        Release is made for purposes of treatment, payment, research, or health care operations to the extent that disclosure is permitted under 45 Code of Federal Regulations §§ 164.506 and 164.512(</w:t>
      </w:r>
      <w:proofErr w:type="spellStart"/>
      <w:r w:rsidRPr="00AB78DB">
        <w:rPr>
          <w:rFonts w:asciiTheme="minorHAnsi" w:hAnsiTheme="minorHAnsi"/>
          <w:color w:val="000000"/>
          <w:sz w:val="22"/>
          <w:szCs w:val="22"/>
        </w:rPr>
        <w:t>i</w:t>
      </w:r>
      <w:proofErr w:type="spellEnd"/>
      <w:r w:rsidRPr="00AB78DB">
        <w:rPr>
          <w:rFonts w:asciiTheme="minorHAnsi" w:hAnsiTheme="minorHAnsi"/>
          <w:color w:val="000000"/>
          <w:sz w:val="22"/>
          <w:szCs w:val="22"/>
        </w:rPr>
        <w:t>). For purposes of this section, the terms "treatment," "payment," "research," and "health care operations" have the meaning given those terms in 45 Code of Federal Regulations § 164.501;</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(4)        Release is necessary to protect the public health and is made as provided by the Commission in its rules regarding control measures for communicable diseases and conditions;</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(5)        Release is made pursuant to other provisions of this Article;</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(6)        Release is made pursuant to subpoena or court order. Upon request of the person identified in the record, the record shall be reviewed in camera. In the trial, the trial judge may, during the taking of testimony concerning such information, exclude from the courtroom all persons except the officers of the court, the parties and those engaged in the trial of the case;</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(7)        Release is made by the Department or a local health department to a court or a law enforcement official for the purpose of enforcing this Article or Article 22 of this Chapter, or investigating a terrorist incident using nuclear, biological, or chemical agents. A law enforcement official who receives the information shall not disclose it further, except (</w:t>
      </w:r>
      <w:proofErr w:type="spellStart"/>
      <w:r w:rsidRPr="00AB78DB">
        <w:rPr>
          <w:rFonts w:asciiTheme="minorHAnsi" w:hAnsiTheme="minorHAnsi"/>
          <w:color w:val="000000"/>
          <w:sz w:val="22"/>
          <w:szCs w:val="22"/>
        </w:rPr>
        <w:t>i</w:t>
      </w:r>
      <w:proofErr w:type="spellEnd"/>
      <w:r w:rsidRPr="00AB78DB">
        <w:rPr>
          <w:rFonts w:asciiTheme="minorHAnsi" w:hAnsiTheme="minorHAnsi"/>
          <w:color w:val="000000"/>
          <w:sz w:val="22"/>
          <w:szCs w:val="22"/>
        </w:rPr>
        <w:t>) when necessary to enforce this Article or Article 22 of this Chapter, or when necessary to conduct an investigation of a terrorist incident using nuclear, biological, or chemical agents, or (ii) when the Department or a local health department seeks the assistance of the law enforcement official in preventing or controlling the spread of the disease or condition and expressly authorizes the disclosure as necessary for that purpose;</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(8)        Release is made by the Department or a local health department to another federal, state or local public health agency for the purpose of preventing or controlling the spread of a communicable disease or communicable condition;</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(9)        Release is made by the Department for bona fide research purposes. The Commission shall adopt rules providing for the use of the information for research purposes;</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(10)      Release is made pursuant to G.S. 130A</w:t>
      </w:r>
      <w:r w:rsidRPr="00AB78DB">
        <w:rPr>
          <w:rFonts w:asciiTheme="minorHAnsi" w:hAnsiTheme="minorHAnsi"/>
          <w:color w:val="000000"/>
          <w:sz w:val="22"/>
          <w:szCs w:val="22"/>
        </w:rPr>
        <w:noBreakHyphen/>
      </w:r>
      <w:proofErr w:type="gramStart"/>
      <w:r w:rsidRPr="00AB78DB">
        <w:rPr>
          <w:rFonts w:asciiTheme="minorHAnsi" w:hAnsiTheme="minorHAnsi"/>
          <w:color w:val="000000"/>
          <w:sz w:val="22"/>
          <w:szCs w:val="22"/>
        </w:rPr>
        <w:t>144(</w:t>
      </w:r>
      <w:proofErr w:type="gramEnd"/>
      <w:r w:rsidRPr="00AB78DB">
        <w:rPr>
          <w:rFonts w:asciiTheme="minorHAnsi" w:hAnsiTheme="minorHAnsi"/>
          <w:color w:val="000000"/>
          <w:sz w:val="22"/>
          <w:szCs w:val="22"/>
        </w:rPr>
        <w:t>b); or</w:t>
      </w:r>
    </w:p>
    <w:p w:rsidR="00943589" w:rsidRPr="00AB78DB" w:rsidRDefault="00943589" w:rsidP="00943589">
      <w:pPr>
        <w:pStyle w:val="ablock1"/>
        <w:spacing w:before="0" w:beforeAutospacing="0" w:after="0" w:afterAutospacing="0"/>
        <w:ind w:left="1800" w:hanging="720"/>
        <w:jc w:val="both"/>
        <w:rPr>
          <w:rFonts w:asciiTheme="minorHAnsi" w:hAnsiTheme="minorHAnsi"/>
          <w:color w:val="000000"/>
          <w:sz w:val="22"/>
          <w:szCs w:val="22"/>
        </w:rPr>
      </w:pPr>
      <w:r w:rsidRPr="00AB78DB">
        <w:rPr>
          <w:rFonts w:asciiTheme="minorHAnsi" w:hAnsiTheme="minorHAnsi"/>
          <w:color w:val="000000"/>
          <w:sz w:val="22"/>
          <w:szCs w:val="22"/>
        </w:rPr>
        <w:t>(11)      Release is made pursuant to any other provisions of law that specifically authorize or require the release of information or records related to AIDS.</w:t>
      </w:r>
      <w:r w:rsidRPr="00AB78DB">
        <w:rPr>
          <w:rStyle w:val="apple-converted-space"/>
          <w:rFonts w:asciiTheme="minorHAnsi" w:hAnsiTheme="minorHAnsi"/>
          <w:color w:val="000000"/>
          <w:sz w:val="22"/>
          <w:szCs w:val="22"/>
        </w:rPr>
        <w:t> </w:t>
      </w:r>
      <w:r w:rsidRPr="00AB78DB">
        <w:rPr>
          <w:rStyle w:val="chistorynote"/>
          <w:rFonts w:asciiTheme="minorHAnsi" w:hAnsiTheme="minorHAnsi"/>
          <w:color w:val="000000"/>
          <w:sz w:val="22"/>
          <w:szCs w:val="22"/>
        </w:rPr>
        <w:t> (1983, c. 891, s. 2; 1987, c. 782, s. 13; 2002</w:t>
      </w:r>
      <w:r w:rsidRPr="00AB78DB">
        <w:rPr>
          <w:rStyle w:val="chistorynote"/>
          <w:rFonts w:asciiTheme="minorHAnsi" w:hAnsiTheme="minorHAnsi"/>
          <w:color w:val="000000"/>
          <w:sz w:val="22"/>
          <w:szCs w:val="22"/>
        </w:rPr>
        <w:noBreakHyphen/>
        <w:t>179, s. 7; 2011</w:t>
      </w:r>
      <w:r w:rsidRPr="00AB78DB">
        <w:rPr>
          <w:rStyle w:val="chistorynote"/>
          <w:rFonts w:asciiTheme="minorHAnsi" w:hAnsiTheme="minorHAnsi"/>
          <w:color w:val="000000"/>
          <w:sz w:val="22"/>
          <w:szCs w:val="22"/>
        </w:rPr>
        <w:noBreakHyphen/>
        <w:t>314, s. 4.)</w:t>
      </w:r>
    </w:p>
    <w:p w:rsidR="00943589" w:rsidRPr="00AB78DB" w:rsidRDefault="00943589" w:rsidP="00943589">
      <w:pPr>
        <w:spacing w:after="0"/>
      </w:pPr>
      <w:bookmarkStart w:id="1" w:name="_GoBack"/>
      <w:bookmarkEnd w:id="1"/>
    </w:p>
    <w:sectPr w:rsidR="00943589" w:rsidRPr="00AB78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E" w:rsidRDefault="00CB23CE" w:rsidP="006B1E08">
      <w:pPr>
        <w:spacing w:after="0" w:line="240" w:lineRule="auto"/>
      </w:pPr>
      <w:r>
        <w:separator/>
      </w:r>
    </w:p>
  </w:endnote>
  <w:endnote w:type="continuationSeparator" w:id="0">
    <w:p w:rsidR="00CB23CE" w:rsidRDefault="00CB23CE" w:rsidP="006B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355875"/>
      <w:docPartObj>
        <w:docPartGallery w:val="Page Numbers (Bottom of Page)"/>
        <w:docPartUnique/>
      </w:docPartObj>
    </w:sdtPr>
    <w:sdtEndPr>
      <w:rPr>
        <w:noProof/>
      </w:rPr>
    </w:sdtEndPr>
    <w:sdtContent>
      <w:p w:rsidR="006B1E08" w:rsidRDefault="006B1E0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B1E08" w:rsidRDefault="006B1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E" w:rsidRDefault="00CB23CE" w:rsidP="006B1E08">
      <w:pPr>
        <w:spacing w:after="0" w:line="240" w:lineRule="auto"/>
      </w:pPr>
      <w:r>
        <w:separator/>
      </w:r>
    </w:p>
  </w:footnote>
  <w:footnote w:type="continuationSeparator" w:id="0">
    <w:p w:rsidR="00CB23CE" w:rsidRDefault="00CB23CE" w:rsidP="006B1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89"/>
    <w:rsid w:val="006B1E08"/>
    <w:rsid w:val="00943589"/>
    <w:rsid w:val="009A46C0"/>
    <w:rsid w:val="00AB78DB"/>
    <w:rsid w:val="00CB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ection">
    <w:name w:val="asection"/>
    <w:basedOn w:val="Normal"/>
    <w:rsid w:val="00943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943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3589"/>
  </w:style>
  <w:style w:type="character" w:customStyle="1" w:styleId="chistorynote">
    <w:name w:val="chistorynote"/>
    <w:basedOn w:val="DefaultParagraphFont"/>
    <w:rsid w:val="00943589"/>
  </w:style>
  <w:style w:type="paragraph" w:customStyle="1" w:styleId="ablock1">
    <w:name w:val="ablock1"/>
    <w:basedOn w:val="Normal"/>
    <w:rsid w:val="009435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08"/>
  </w:style>
  <w:style w:type="paragraph" w:styleId="Footer">
    <w:name w:val="footer"/>
    <w:basedOn w:val="Normal"/>
    <w:link w:val="FooterChar"/>
    <w:uiPriority w:val="99"/>
    <w:unhideWhenUsed/>
    <w:rsid w:val="006B1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ection">
    <w:name w:val="asection"/>
    <w:basedOn w:val="Normal"/>
    <w:rsid w:val="00943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943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3589"/>
  </w:style>
  <w:style w:type="character" w:customStyle="1" w:styleId="chistorynote">
    <w:name w:val="chistorynote"/>
    <w:basedOn w:val="DefaultParagraphFont"/>
    <w:rsid w:val="00943589"/>
  </w:style>
  <w:style w:type="paragraph" w:customStyle="1" w:styleId="ablock1">
    <w:name w:val="ablock1"/>
    <w:basedOn w:val="Normal"/>
    <w:rsid w:val="009435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08"/>
  </w:style>
  <w:style w:type="paragraph" w:styleId="Footer">
    <w:name w:val="footer"/>
    <w:basedOn w:val="Normal"/>
    <w:link w:val="FooterChar"/>
    <w:uiPriority w:val="99"/>
    <w:unhideWhenUsed/>
    <w:rsid w:val="006B1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5939">
      <w:bodyDiv w:val="1"/>
      <w:marLeft w:val="0"/>
      <w:marRight w:val="0"/>
      <w:marTop w:val="0"/>
      <w:marBottom w:val="0"/>
      <w:divBdr>
        <w:top w:val="none" w:sz="0" w:space="0" w:color="auto"/>
        <w:left w:val="none" w:sz="0" w:space="0" w:color="auto"/>
        <w:bottom w:val="none" w:sz="0" w:space="0" w:color="auto"/>
        <w:right w:val="none" w:sz="0" w:space="0" w:color="auto"/>
      </w:divBdr>
    </w:div>
    <w:div w:id="736633959">
      <w:bodyDiv w:val="1"/>
      <w:marLeft w:val="0"/>
      <w:marRight w:val="0"/>
      <w:marTop w:val="0"/>
      <w:marBottom w:val="0"/>
      <w:divBdr>
        <w:top w:val="none" w:sz="0" w:space="0" w:color="auto"/>
        <w:left w:val="none" w:sz="0" w:space="0" w:color="auto"/>
        <w:bottom w:val="none" w:sz="0" w:space="0" w:color="auto"/>
        <w:right w:val="none" w:sz="0" w:space="0" w:color="auto"/>
      </w:divBdr>
    </w:div>
    <w:div w:id="1005209409">
      <w:bodyDiv w:val="1"/>
      <w:marLeft w:val="0"/>
      <w:marRight w:val="0"/>
      <w:marTop w:val="0"/>
      <w:marBottom w:val="0"/>
      <w:divBdr>
        <w:top w:val="none" w:sz="0" w:space="0" w:color="auto"/>
        <w:left w:val="none" w:sz="0" w:space="0" w:color="auto"/>
        <w:bottom w:val="none" w:sz="0" w:space="0" w:color="auto"/>
        <w:right w:val="none" w:sz="0" w:space="0" w:color="auto"/>
      </w:divBdr>
    </w:div>
    <w:div w:id="19638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981</Words>
  <Characters>5597</Characters>
  <Application>Microsoft Office Word</Application>
  <DocSecurity>0</DocSecurity>
  <Lines>46</Lines>
  <Paragraphs>13</Paragraphs>
  <ScaleCrop>false</ScaleCrop>
  <Company>The University of North Carolina at Chapel Hill</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3</cp:revision>
  <dcterms:created xsi:type="dcterms:W3CDTF">2013-06-11T23:39:00Z</dcterms:created>
  <dcterms:modified xsi:type="dcterms:W3CDTF">2013-06-11T23:45:00Z</dcterms:modified>
</cp:coreProperties>
</file>