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C014A" w14:textId="4101B20B" w:rsidR="008C0739" w:rsidRPr="003F3DB7" w:rsidRDefault="00D56640" w:rsidP="003F3DB7">
      <w:pPr>
        <w:pStyle w:val="Heading1"/>
        <w:rPr>
          <w:rFonts w:ascii="Times New Roman" w:hAnsi="Times New Roman" w:cs="Times New Roman"/>
        </w:rPr>
      </w:pPr>
      <w:r w:rsidRPr="003F3DB7">
        <w:rPr>
          <w:rFonts w:ascii="Times New Roman" w:hAnsi="Times New Roman" w:cs="Times New Roman"/>
        </w:rPr>
        <w:t>Civil Procedure Case Update</w:t>
      </w:r>
    </w:p>
    <w:p w14:paraId="040A5C43" w14:textId="5F4B80FB" w:rsidR="00D94D6D" w:rsidRPr="003F6B7E" w:rsidRDefault="00D94D6D" w:rsidP="007D652E">
      <w:pPr>
        <w:spacing w:line="240" w:lineRule="auto"/>
        <w:rPr>
          <w:rFonts w:ascii="Times New Roman" w:hAnsi="Times New Roman" w:cs="Times New Roman"/>
          <w:b/>
          <w:bCs/>
        </w:rPr>
      </w:pPr>
      <w:r w:rsidRPr="003F6B7E">
        <w:rPr>
          <w:rFonts w:ascii="Times New Roman" w:hAnsi="Times New Roman" w:cs="Times New Roman"/>
          <w:b/>
          <w:bCs/>
        </w:rPr>
        <w:t>Date:</w:t>
      </w:r>
      <w:r w:rsidR="001A24AF" w:rsidRPr="003F6B7E">
        <w:rPr>
          <w:rFonts w:ascii="Times New Roman" w:hAnsi="Times New Roman" w:cs="Times New Roman"/>
          <w:b/>
          <w:bCs/>
        </w:rPr>
        <w:t xml:space="preserve"> </w:t>
      </w:r>
      <w:r w:rsidR="00E0796A" w:rsidRPr="003F6B7E">
        <w:rPr>
          <w:rFonts w:ascii="Times New Roman" w:hAnsi="Times New Roman" w:cs="Times New Roman"/>
          <w:b/>
          <w:bCs/>
        </w:rPr>
        <w:tab/>
      </w:r>
      <w:r w:rsidR="00E0796A" w:rsidRPr="003F6B7E">
        <w:rPr>
          <w:rFonts w:ascii="Times New Roman" w:hAnsi="Times New Roman" w:cs="Times New Roman"/>
          <w:b/>
          <w:bCs/>
        </w:rPr>
        <w:tab/>
      </w:r>
      <w:r w:rsidR="00E0796A" w:rsidRPr="003F6B7E">
        <w:rPr>
          <w:rFonts w:ascii="Times New Roman" w:hAnsi="Times New Roman" w:cs="Times New Roman"/>
          <w:b/>
          <w:bCs/>
        </w:rPr>
        <w:tab/>
      </w:r>
      <w:r w:rsidR="001A24AF" w:rsidRPr="003F6B7E">
        <w:rPr>
          <w:rFonts w:ascii="Times New Roman" w:hAnsi="Times New Roman" w:cs="Times New Roman"/>
          <w:b/>
          <w:bCs/>
        </w:rPr>
        <w:t xml:space="preserve">October </w:t>
      </w:r>
      <w:r w:rsidR="007D652E" w:rsidRPr="003F6B7E">
        <w:rPr>
          <w:rFonts w:ascii="Times New Roman" w:hAnsi="Times New Roman" w:cs="Times New Roman"/>
          <w:b/>
          <w:bCs/>
        </w:rPr>
        <w:t>21</w:t>
      </w:r>
      <w:r w:rsidR="001A24AF" w:rsidRPr="003F6B7E">
        <w:rPr>
          <w:rFonts w:ascii="Times New Roman" w:hAnsi="Times New Roman" w:cs="Times New Roman"/>
          <w:b/>
          <w:bCs/>
        </w:rPr>
        <w:t>, 2026</w:t>
      </w:r>
    </w:p>
    <w:p w14:paraId="27FAE17F" w14:textId="4EBE7F0B" w:rsidR="007D652E" w:rsidRPr="003F6B7E" w:rsidRDefault="007D652E" w:rsidP="007D652E">
      <w:pPr>
        <w:spacing w:line="240" w:lineRule="auto"/>
        <w:rPr>
          <w:rFonts w:ascii="Times New Roman" w:hAnsi="Times New Roman" w:cs="Times New Roman"/>
          <w:b/>
          <w:bCs/>
        </w:rPr>
      </w:pPr>
      <w:r w:rsidRPr="003F6B7E">
        <w:rPr>
          <w:rFonts w:ascii="Times New Roman" w:hAnsi="Times New Roman" w:cs="Times New Roman"/>
          <w:b/>
          <w:bCs/>
        </w:rPr>
        <w:t xml:space="preserve">Author: </w:t>
      </w:r>
      <w:r w:rsidR="00E0796A" w:rsidRPr="003F6B7E">
        <w:rPr>
          <w:rFonts w:ascii="Times New Roman" w:hAnsi="Times New Roman" w:cs="Times New Roman"/>
          <w:b/>
          <w:bCs/>
        </w:rPr>
        <w:tab/>
      </w:r>
      <w:r w:rsidR="00E0796A" w:rsidRPr="003F6B7E">
        <w:rPr>
          <w:rFonts w:ascii="Times New Roman" w:hAnsi="Times New Roman" w:cs="Times New Roman"/>
          <w:b/>
          <w:bCs/>
        </w:rPr>
        <w:tab/>
      </w:r>
      <w:r w:rsidRPr="003F6B7E">
        <w:rPr>
          <w:rFonts w:ascii="Times New Roman" w:hAnsi="Times New Roman" w:cs="Times New Roman"/>
          <w:b/>
          <w:bCs/>
        </w:rPr>
        <w:t>Joseph Laizure</w:t>
      </w:r>
    </w:p>
    <w:p w14:paraId="1C822ACB" w14:textId="2D77DC49" w:rsidR="00D94D6D" w:rsidRPr="003F6B7E" w:rsidRDefault="00D94D6D" w:rsidP="007D652E">
      <w:pPr>
        <w:spacing w:line="240" w:lineRule="auto"/>
        <w:rPr>
          <w:rFonts w:ascii="Times New Roman" w:hAnsi="Times New Roman" w:cs="Times New Roman"/>
          <w:b/>
          <w:bCs/>
        </w:rPr>
      </w:pPr>
      <w:r w:rsidRPr="003F6B7E">
        <w:rPr>
          <w:rFonts w:ascii="Times New Roman" w:hAnsi="Times New Roman" w:cs="Times New Roman"/>
          <w:b/>
          <w:bCs/>
        </w:rPr>
        <w:t>Program:</w:t>
      </w:r>
      <w:r w:rsidR="001A24AF" w:rsidRPr="003F6B7E">
        <w:rPr>
          <w:rFonts w:ascii="Times New Roman" w:hAnsi="Times New Roman" w:cs="Times New Roman"/>
          <w:b/>
          <w:bCs/>
        </w:rPr>
        <w:t xml:space="preserve"> </w:t>
      </w:r>
      <w:r w:rsidR="00E0796A" w:rsidRPr="003F6B7E">
        <w:rPr>
          <w:rFonts w:ascii="Times New Roman" w:hAnsi="Times New Roman" w:cs="Times New Roman"/>
          <w:b/>
          <w:bCs/>
        </w:rPr>
        <w:tab/>
      </w:r>
      <w:r w:rsidR="00E0796A" w:rsidRPr="003F6B7E">
        <w:rPr>
          <w:rFonts w:ascii="Times New Roman" w:hAnsi="Times New Roman" w:cs="Times New Roman"/>
          <w:b/>
          <w:bCs/>
        </w:rPr>
        <w:tab/>
      </w:r>
      <w:r w:rsidR="001A24AF" w:rsidRPr="003F6B7E">
        <w:rPr>
          <w:rFonts w:ascii="Times New Roman" w:hAnsi="Times New Roman" w:cs="Times New Roman"/>
          <w:b/>
          <w:bCs/>
        </w:rPr>
        <w:t>Superior Court Judges’ Fall Conference</w:t>
      </w:r>
    </w:p>
    <w:p w14:paraId="48B066EB" w14:textId="0B728FF9" w:rsidR="00D94D6D" w:rsidRPr="003F6B7E" w:rsidRDefault="00D94D6D" w:rsidP="007D652E">
      <w:pPr>
        <w:spacing w:line="240" w:lineRule="auto"/>
        <w:rPr>
          <w:rFonts w:ascii="Times New Roman" w:hAnsi="Times New Roman" w:cs="Times New Roman"/>
          <w:b/>
          <w:bCs/>
        </w:rPr>
      </w:pPr>
      <w:r w:rsidRPr="003F6B7E">
        <w:rPr>
          <w:rFonts w:ascii="Times New Roman" w:hAnsi="Times New Roman" w:cs="Times New Roman"/>
          <w:b/>
          <w:bCs/>
        </w:rPr>
        <w:t>Location:</w:t>
      </w:r>
      <w:r w:rsidR="001A24AF" w:rsidRPr="003F6B7E">
        <w:rPr>
          <w:rFonts w:ascii="Times New Roman" w:hAnsi="Times New Roman" w:cs="Times New Roman"/>
          <w:b/>
          <w:bCs/>
        </w:rPr>
        <w:t xml:space="preserve"> </w:t>
      </w:r>
      <w:r w:rsidR="00E0796A" w:rsidRPr="003F6B7E">
        <w:rPr>
          <w:rFonts w:ascii="Times New Roman" w:hAnsi="Times New Roman" w:cs="Times New Roman"/>
          <w:b/>
          <w:bCs/>
        </w:rPr>
        <w:tab/>
      </w:r>
      <w:r w:rsidR="00E0796A" w:rsidRPr="003F6B7E">
        <w:rPr>
          <w:rFonts w:ascii="Times New Roman" w:hAnsi="Times New Roman" w:cs="Times New Roman"/>
          <w:b/>
          <w:bCs/>
        </w:rPr>
        <w:tab/>
      </w:r>
      <w:r w:rsidR="001A24AF" w:rsidRPr="003F6B7E">
        <w:rPr>
          <w:rFonts w:ascii="Times New Roman" w:hAnsi="Times New Roman" w:cs="Times New Roman"/>
          <w:b/>
          <w:bCs/>
        </w:rPr>
        <w:t>Chapel Hill, NC</w:t>
      </w:r>
    </w:p>
    <w:p w14:paraId="32690F8D" w14:textId="53BF68CA" w:rsidR="00D94D6D" w:rsidRPr="003F6B7E" w:rsidRDefault="00D94D6D" w:rsidP="007D652E">
      <w:pPr>
        <w:spacing w:line="240" w:lineRule="auto"/>
        <w:rPr>
          <w:rFonts w:ascii="Times New Roman" w:hAnsi="Times New Roman" w:cs="Times New Roman"/>
          <w:b/>
          <w:bCs/>
        </w:rPr>
      </w:pPr>
      <w:r w:rsidRPr="003F6B7E">
        <w:rPr>
          <w:rFonts w:ascii="Times New Roman" w:hAnsi="Times New Roman" w:cs="Times New Roman"/>
          <w:b/>
          <w:bCs/>
        </w:rPr>
        <w:t xml:space="preserve">Time Range: </w:t>
      </w:r>
      <w:r w:rsidR="00E0796A" w:rsidRPr="003F6B7E">
        <w:rPr>
          <w:rFonts w:ascii="Times New Roman" w:hAnsi="Times New Roman" w:cs="Times New Roman"/>
          <w:b/>
          <w:bCs/>
        </w:rPr>
        <w:tab/>
      </w:r>
      <w:r w:rsidR="00E0796A" w:rsidRPr="003F6B7E">
        <w:rPr>
          <w:rFonts w:ascii="Times New Roman" w:hAnsi="Times New Roman" w:cs="Times New Roman"/>
          <w:b/>
          <w:bCs/>
        </w:rPr>
        <w:tab/>
      </w:r>
      <w:r w:rsidR="00E26118" w:rsidRPr="003F6B7E">
        <w:rPr>
          <w:rFonts w:ascii="Times New Roman" w:hAnsi="Times New Roman" w:cs="Times New Roman"/>
          <w:b/>
          <w:bCs/>
        </w:rPr>
        <w:t>June 1,  2026</w:t>
      </w:r>
      <w:r w:rsidRPr="003F6B7E">
        <w:rPr>
          <w:rFonts w:ascii="Times New Roman" w:hAnsi="Times New Roman" w:cs="Times New Roman"/>
          <w:b/>
          <w:bCs/>
        </w:rPr>
        <w:t xml:space="preserve"> to </w:t>
      </w:r>
      <w:r w:rsidR="00E26118" w:rsidRPr="003F6B7E">
        <w:rPr>
          <w:rFonts w:ascii="Times New Roman" w:hAnsi="Times New Roman" w:cs="Times New Roman"/>
          <w:b/>
          <w:bCs/>
        </w:rPr>
        <w:t>October 1, 2026</w:t>
      </w:r>
    </w:p>
    <w:p w14:paraId="03866752" w14:textId="452B54C9" w:rsidR="00D94D6D" w:rsidRPr="003F6B7E" w:rsidRDefault="00D94D6D" w:rsidP="007D652E">
      <w:pPr>
        <w:spacing w:line="240" w:lineRule="auto"/>
        <w:rPr>
          <w:rFonts w:ascii="Times New Roman" w:hAnsi="Times New Roman" w:cs="Times New Roman"/>
          <w:b/>
          <w:bCs/>
        </w:rPr>
      </w:pPr>
      <w:r w:rsidRPr="003F6B7E">
        <w:rPr>
          <w:rFonts w:ascii="Times New Roman" w:hAnsi="Times New Roman" w:cs="Times New Roman"/>
          <w:b/>
          <w:bCs/>
        </w:rPr>
        <w:t xml:space="preserve">Courts covered: </w:t>
      </w:r>
      <w:r w:rsidR="00E26118" w:rsidRPr="003F6B7E">
        <w:rPr>
          <w:rFonts w:ascii="Times New Roman" w:hAnsi="Times New Roman" w:cs="Times New Roman"/>
          <w:b/>
          <w:bCs/>
        </w:rPr>
        <w:tab/>
      </w:r>
      <w:r w:rsidRPr="003F6B7E">
        <w:rPr>
          <w:rFonts w:ascii="Times New Roman" w:hAnsi="Times New Roman" w:cs="Times New Roman"/>
          <w:b/>
          <w:bCs/>
        </w:rPr>
        <w:t>North Carolina Supreme Court</w:t>
      </w:r>
    </w:p>
    <w:p w14:paraId="1A060525" w14:textId="20D3F7C5" w:rsidR="00E26118" w:rsidRPr="003F6B7E" w:rsidRDefault="00E26118" w:rsidP="007D652E">
      <w:pPr>
        <w:spacing w:line="240" w:lineRule="auto"/>
        <w:rPr>
          <w:rFonts w:ascii="Times New Roman" w:hAnsi="Times New Roman" w:cs="Times New Roman"/>
          <w:b/>
          <w:bCs/>
        </w:rPr>
      </w:pPr>
      <w:r w:rsidRPr="003F6B7E">
        <w:rPr>
          <w:rFonts w:ascii="Times New Roman" w:hAnsi="Times New Roman" w:cs="Times New Roman"/>
          <w:b/>
          <w:bCs/>
        </w:rPr>
        <w:tab/>
      </w:r>
      <w:r w:rsidRPr="003F6B7E">
        <w:rPr>
          <w:rFonts w:ascii="Times New Roman" w:hAnsi="Times New Roman" w:cs="Times New Roman"/>
          <w:b/>
          <w:bCs/>
        </w:rPr>
        <w:tab/>
      </w:r>
      <w:r w:rsidRPr="003F6B7E">
        <w:rPr>
          <w:rFonts w:ascii="Times New Roman" w:hAnsi="Times New Roman" w:cs="Times New Roman"/>
          <w:b/>
          <w:bCs/>
        </w:rPr>
        <w:tab/>
        <w:t xml:space="preserve">North Carolina Court of Appeals </w:t>
      </w:r>
    </w:p>
    <w:p w14:paraId="5636791F" w14:textId="361455C6" w:rsidR="00D94D6D" w:rsidRPr="003F6B7E" w:rsidRDefault="00D94D6D" w:rsidP="007D652E">
      <w:pPr>
        <w:spacing w:line="240" w:lineRule="auto"/>
        <w:rPr>
          <w:rFonts w:ascii="Times New Roman" w:hAnsi="Times New Roman" w:cs="Times New Roman"/>
          <w:b/>
          <w:bCs/>
        </w:rPr>
      </w:pPr>
      <w:r w:rsidRPr="003F6B7E">
        <w:rPr>
          <w:rFonts w:ascii="Times New Roman" w:hAnsi="Times New Roman" w:cs="Times New Roman"/>
          <w:b/>
          <w:bCs/>
        </w:rPr>
        <w:t xml:space="preserve">Subjects covered: </w:t>
      </w:r>
      <w:r w:rsidR="00E0796A" w:rsidRPr="003F6B7E">
        <w:rPr>
          <w:rFonts w:ascii="Times New Roman" w:hAnsi="Times New Roman" w:cs="Times New Roman"/>
          <w:b/>
          <w:bCs/>
        </w:rPr>
        <w:tab/>
      </w:r>
      <w:r w:rsidR="00DE7711" w:rsidRPr="003F6B7E">
        <w:rPr>
          <w:rFonts w:ascii="Times New Roman" w:hAnsi="Times New Roman" w:cs="Times New Roman"/>
          <w:b/>
          <w:bCs/>
        </w:rPr>
        <w:t>Civil Procedure</w:t>
      </w:r>
    </w:p>
    <w:p w14:paraId="30F11CA9" w14:textId="77777777" w:rsidR="00AC57EE" w:rsidRPr="003F6B7E" w:rsidRDefault="00AC57EE" w:rsidP="007D652E">
      <w:pPr>
        <w:spacing w:line="240" w:lineRule="auto"/>
        <w:rPr>
          <w:rFonts w:ascii="Times New Roman" w:hAnsi="Times New Roman" w:cs="Times New Roman"/>
          <w:b/>
          <w:bCs/>
        </w:rPr>
      </w:pPr>
    </w:p>
    <w:p w14:paraId="16D7A742" w14:textId="77777777" w:rsidR="00223C1A" w:rsidRPr="003F6B7E" w:rsidRDefault="00223C1A" w:rsidP="00930F0E">
      <w:pPr>
        <w:rPr>
          <w:rFonts w:ascii="Times New Roman" w:hAnsi="Times New Roman" w:cs="Times New Roman"/>
          <w:b/>
          <w:bCs/>
        </w:rPr>
      </w:pPr>
    </w:p>
    <w:sdt>
      <w:sdtPr>
        <w:rPr>
          <w:rFonts w:ascii="Times New Roman" w:eastAsiaTheme="minorHAnsi" w:hAnsi="Times New Roman" w:cs="Times New Roman"/>
          <w:color w:val="auto"/>
          <w:kern w:val="2"/>
          <w:sz w:val="24"/>
          <w:szCs w:val="24"/>
          <w14:ligatures w14:val="standardContextual"/>
        </w:rPr>
        <w:id w:val="872582227"/>
        <w:docPartObj>
          <w:docPartGallery w:val="Table of Contents"/>
          <w:docPartUnique/>
        </w:docPartObj>
      </w:sdtPr>
      <w:sdtEndPr>
        <w:rPr>
          <w:b/>
          <w:bCs/>
          <w:noProof/>
        </w:rPr>
      </w:sdtEndPr>
      <w:sdtContent>
        <w:p w14:paraId="424D2ACE" w14:textId="7DA0B9B6" w:rsidR="00284288" w:rsidRPr="003F6B7E" w:rsidRDefault="00284288">
          <w:pPr>
            <w:pStyle w:val="TOCHeading"/>
            <w:rPr>
              <w:rFonts w:ascii="Times New Roman" w:hAnsi="Times New Roman" w:cs="Times New Roman"/>
            </w:rPr>
          </w:pPr>
          <w:r w:rsidRPr="003F6B7E">
            <w:rPr>
              <w:rFonts w:ascii="Times New Roman" w:hAnsi="Times New Roman" w:cs="Times New Roman"/>
            </w:rPr>
            <w:t>Contents</w:t>
          </w:r>
        </w:p>
        <w:p w14:paraId="44268D7D" w14:textId="22BAF10B" w:rsidR="008B7D9A" w:rsidRDefault="00284288">
          <w:pPr>
            <w:pStyle w:val="TOC2"/>
            <w:tabs>
              <w:tab w:val="right" w:leader="dot" w:pos="9350"/>
            </w:tabs>
            <w:rPr>
              <w:rFonts w:asciiTheme="minorHAnsi" w:eastAsiaTheme="minorEastAsia" w:hAnsiTheme="minorHAnsi"/>
              <w:noProof/>
            </w:rPr>
          </w:pPr>
          <w:r w:rsidRPr="003F6B7E">
            <w:rPr>
              <w:rFonts w:ascii="Times New Roman" w:hAnsi="Times New Roman" w:cs="Times New Roman"/>
            </w:rPr>
            <w:fldChar w:fldCharType="begin"/>
          </w:r>
          <w:r w:rsidRPr="003F6B7E">
            <w:rPr>
              <w:rFonts w:ascii="Times New Roman" w:hAnsi="Times New Roman" w:cs="Times New Roman"/>
            </w:rPr>
            <w:instrText xml:space="preserve"> TOC \o "1-3" \h \z \u </w:instrText>
          </w:r>
          <w:r w:rsidRPr="003F6B7E">
            <w:rPr>
              <w:rFonts w:ascii="Times New Roman" w:hAnsi="Times New Roman" w:cs="Times New Roman"/>
            </w:rPr>
            <w:fldChar w:fldCharType="separate"/>
          </w:r>
          <w:hyperlink w:anchor="_Toc242276207" w:history="1">
            <w:r w:rsidR="008B7D9A" w:rsidRPr="009F0CF3">
              <w:rPr>
                <w:rStyle w:val="Hyperlink"/>
                <w:rFonts w:ascii="Times New Roman" w:hAnsi="Times New Roman" w:cs="Times New Roman"/>
                <w:noProof/>
              </w:rPr>
              <w:t>Administrative Proceedings</w:t>
            </w:r>
            <w:r w:rsidR="008B7D9A">
              <w:rPr>
                <w:noProof/>
                <w:webHidden/>
              </w:rPr>
              <w:tab/>
            </w:r>
            <w:r w:rsidR="008B7D9A">
              <w:rPr>
                <w:noProof/>
                <w:webHidden/>
              </w:rPr>
              <w:fldChar w:fldCharType="begin"/>
            </w:r>
            <w:r w:rsidR="008B7D9A">
              <w:rPr>
                <w:noProof/>
                <w:webHidden/>
              </w:rPr>
              <w:instrText xml:space="preserve"> PAGEREF _Toc242276207 \h </w:instrText>
            </w:r>
            <w:r w:rsidR="008B7D9A">
              <w:rPr>
                <w:noProof/>
                <w:webHidden/>
              </w:rPr>
            </w:r>
            <w:r w:rsidR="008B7D9A">
              <w:rPr>
                <w:noProof/>
                <w:webHidden/>
              </w:rPr>
              <w:fldChar w:fldCharType="separate"/>
            </w:r>
            <w:r w:rsidR="003F3DB7">
              <w:rPr>
                <w:noProof/>
                <w:webHidden/>
              </w:rPr>
              <w:t>2</w:t>
            </w:r>
            <w:r w:rsidR="008B7D9A">
              <w:rPr>
                <w:noProof/>
                <w:webHidden/>
              </w:rPr>
              <w:fldChar w:fldCharType="end"/>
            </w:r>
          </w:hyperlink>
        </w:p>
        <w:p w14:paraId="160EDF7C" w14:textId="2B89BBBD" w:rsidR="008B7D9A" w:rsidRDefault="008B7D9A">
          <w:pPr>
            <w:pStyle w:val="TOC2"/>
            <w:tabs>
              <w:tab w:val="right" w:leader="dot" w:pos="9350"/>
            </w:tabs>
            <w:rPr>
              <w:rFonts w:asciiTheme="minorHAnsi" w:eastAsiaTheme="minorEastAsia" w:hAnsiTheme="minorHAnsi"/>
              <w:noProof/>
            </w:rPr>
          </w:pPr>
          <w:hyperlink w:anchor="_Toc242276208" w:history="1">
            <w:r w:rsidRPr="009F0CF3">
              <w:rPr>
                <w:rStyle w:val="Hyperlink"/>
                <w:rFonts w:ascii="Times New Roman" w:hAnsi="Times New Roman" w:cs="Times New Roman"/>
                <w:noProof/>
              </w:rPr>
              <w:t>Arbitration</w:t>
            </w:r>
            <w:r>
              <w:rPr>
                <w:noProof/>
                <w:webHidden/>
              </w:rPr>
              <w:tab/>
            </w:r>
            <w:r>
              <w:rPr>
                <w:noProof/>
                <w:webHidden/>
              </w:rPr>
              <w:fldChar w:fldCharType="begin"/>
            </w:r>
            <w:r>
              <w:rPr>
                <w:noProof/>
                <w:webHidden/>
              </w:rPr>
              <w:instrText xml:space="preserve"> PAGEREF _Toc242276208 \h </w:instrText>
            </w:r>
            <w:r>
              <w:rPr>
                <w:noProof/>
                <w:webHidden/>
              </w:rPr>
            </w:r>
            <w:r>
              <w:rPr>
                <w:noProof/>
                <w:webHidden/>
              </w:rPr>
              <w:fldChar w:fldCharType="separate"/>
            </w:r>
            <w:r w:rsidR="003F3DB7">
              <w:rPr>
                <w:noProof/>
                <w:webHidden/>
              </w:rPr>
              <w:t>2</w:t>
            </w:r>
            <w:r>
              <w:rPr>
                <w:noProof/>
                <w:webHidden/>
              </w:rPr>
              <w:fldChar w:fldCharType="end"/>
            </w:r>
          </w:hyperlink>
        </w:p>
        <w:p w14:paraId="53A0612D" w14:textId="7606EF3E" w:rsidR="008B7D9A" w:rsidRDefault="008B7D9A">
          <w:pPr>
            <w:pStyle w:val="TOC2"/>
            <w:tabs>
              <w:tab w:val="right" w:leader="dot" w:pos="9350"/>
            </w:tabs>
            <w:rPr>
              <w:rFonts w:asciiTheme="minorHAnsi" w:eastAsiaTheme="minorEastAsia" w:hAnsiTheme="minorHAnsi"/>
              <w:noProof/>
            </w:rPr>
          </w:pPr>
          <w:hyperlink w:anchor="_Toc242276209" w:history="1">
            <w:r w:rsidRPr="009F0CF3">
              <w:rPr>
                <w:rStyle w:val="Hyperlink"/>
                <w:rFonts w:ascii="Times New Roman" w:hAnsi="Times New Roman" w:cs="Times New Roman"/>
                <w:noProof/>
              </w:rPr>
              <w:t>Attachment</w:t>
            </w:r>
            <w:r>
              <w:rPr>
                <w:noProof/>
                <w:webHidden/>
              </w:rPr>
              <w:tab/>
            </w:r>
            <w:r>
              <w:rPr>
                <w:noProof/>
                <w:webHidden/>
              </w:rPr>
              <w:fldChar w:fldCharType="begin"/>
            </w:r>
            <w:r>
              <w:rPr>
                <w:noProof/>
                <w:webHidden/>
              </w:rPr>
              <w:instrText xml:space="preserve"> PAGEREF _Toc242276209 \h </w:instrText>
            </w:r>
            <w:r>
              <w:rPr>
                <w:noProof/>
                <w:webHidden/>
              </w:rPr>
            </w:r>
            <w:r>
              <w:rPr>
                <w:noProof/>
                <w:webHidden/>
              </w:rPr>
              <w:fldChar w:fldCharType="separate"/>
            </w:r>
            <w:r w:rsidR="003F3DB7">
              <w:rPr>
                <w:noProof/>
                <w:webHidden/>
              </w:rPr>
              <w:t>5</w:t>
            </w:r>
            <w:r>
              <w:rPr>
                <w:noProof/>
                <w:webHidden/>
              </w:rPr>
              <w:fldChar w:fldCharType="end"/>
            </w:r>
          </w:hyperlink>
        </w:p>
        <w:p w14:paraId="4ABCDFFA" w14:textId="5A0012E3" w:rsidR="008B7D9A" w:rsidRDefault="008B7D9A">
          <w:pPr>
            <w:pStyle w:val="TOC2"/>
            <w:tabs>
              <w:tab w:val="right" w:leader="dot" w:pos="9350"/>
            </w:tabs>
            <w:rPr>
              <w:rFonts w:asciiTheme="minorHAnsi" w:eastAsiaTheme="minorEastAsia" w:hAnsiTheme="minorHAnsi"/>
              <w:noProof/>
            </w:rPr>
          </w:pPr>
          <w:hyperlink w:anchor="_Toc242276210" w:history="1">
            <w:r w:rsidRPr="009F0CF3">
              <w:rPr>
                <w:rStyle w:val="Hyperlink"/>
                <w:rFonts w:ascii="Times New Roman" w:hAnsi="Times New Roman" w:cs="Times New Roman"/>
                <w:noProof/>
              </w:rPr>
              <w:t>Charging Orders</w:t>
            </w:r>
            <w:r>
              <w:rPr>
                <w:noProof/>
                <w:webHidden/>
              </w:rPr>
              <w:tab/>
            </w:r>
            <w:r>
              <w:rPr>
                <w:noProof/>
                <w:webHidden/>
              </w:rPr>
              <w:fldChar w:fldCharType="begin"/>
            </w:r>
            <w:r>
              <w:rPr>
                <w:noProof/>
                <w:webHidden/>
              </w:rPr>
              <w:instrText xml:space="preserve"> PAGEREF _Toc242276210 \h </w:instrText>
            </w:r>
            <w:r>
              <w:rPr>
                <w:noProof/>
                <w:webHidden/>
              </w:rPr>
            </w:r>
            <w:r>
              <w:rPr>
                <w:noProof/>
                <w:webHidden/>
              </w:rPr>
              <w:fldChar w:fldCharType="separate"/>
            </w:r>
            <w:r w:rsidR="003F3DB7">
              <w:rPr>
                <w:noProof/>
                <w:webHidden/>
              </w:rPr>
              <w:t>6</w:t>
            </w:r>
            <w:r>
              <w:rPr>
                <w:noProof/>
                <w:webHidden/>
              </w:rPr>
              <w:fldChar w:fldCharType="end"/>
            </w:r>
          </w:hyperlink>
        </w:p>
        <w:p w14:paraId="4AE9517C" w14:textId="18C11A9B" w:rsidR="008B7D9A" w:rsidRDefault="008B7D9A">
          <w:pPr>
            <w:pStyle w:val="TOC2"/>
            <w:tabs>
              <w:tab w:val="right" w:leader="dot" w:pos="9350"/>
            </w:tabs>
            <w:rPr>
              <w:rFonts w:asciiTheme="minorHAnsi" w:eastAsiaTheme="minorEastAsia" w:hAnsiTheme="minorHAnsi"/>
              <w:noProof/>
            </w:rPr>
          </w:pPr>
          <w:hyperlink w:anchor="_Toc242276211" w:history="1">
            <w:r w:rsidRPr="009F0CF3">
              <w:rPr>
                <w:rStyle w:val="Hyperlink"/>
                <w:rFonts w:ascii="Times New Roman" w:hAnsi="Times New Roman" w:cs="Times New Roman"/>
                <w:noProof/>
              </w:rPr>
              <w:t>Rule 8</w:t>
            </w:r>
            <w:r>
              <w:rPr>
                <w:noProof/>
                <w:webHidden/>
              </w:rPr>
              <w:tab/>
            </w:r>
            <w:r>
              <w:rPr>
                <w:noProof/>
                <w:webHidden/>
              </w:rPr>
              <w:fldChar w:fldCharType="begin"/>
            </w:r>
            <w:r>
              <w:rPr>
                <w:noProof/>
                <w:webHidden/>
              </w:rPr>
              <w:instrText xml:space="preserve"> PAGEREF _Toc242276211 \h </w:instrText>
            </w:r>
            <w:r>
              <w:rPr>
                <w:noProof/>
                <w:webHidden/>
              </w:rPr>
            </w:r>
            <w:r>
              <w:rPr>
                <w:noProof/>
                <w:webHidden/>
              </w:rPr>
              <w:fldChar w:fldCharType="separate"/>
            </w:r>
            <w:r w:rsidR="003F3DB7">
              <w:rPr>
                <w:noProof/>
                <w:webHidden/>
              </w:rPr>
              <w:t>8</w:t>
            </w:r>
            <w:r>
              <w:rPr>
                <w:noProof/>
                <w:webHidden/>
              </w:rPr>
              <w:fldChar w:fldCharType="end"/>
            </w:r>
          </w:hyperlink>
        </w:p>
        <w:p w14:paraId="73E7EFD0" w14:textId="31553DC8" w:rsidR="008B7D9A" w:rsidRDefault="008B7D9A">
          <w:pPr>
            <w:pStyle w:val="TOC2"/>
            <w:tabs>
              <w:tab w:val="right" w:leader="dot" w:pos="9350"/>
            </w:tabs>
            <w:rPr>
              <w:rFonts w:asciiTheme="minorHAnsi" w:eastAsiaTheme="minorEastAsia" w:hAnsiTheme="minorHAnsi"/>
              <w:noProof/>
            </w:rPr>
          </w:pPr>
          <w:hyperlink w:anchor="_Toc242276212" w:history="1">
            <w:r w:rsidRPr="009F0CF3">
              <w:rPr>
                <w:rStyle w:val="Hyperlink"/>
                <w:rFonts w:ascii="Times New Roman" w:hAnsi="Times New Roman" w:cs="Times New Roman"/>
                <w:noProof/>
              </w:rPr>
              <w:t>Rule 11</w:t>
            </w:r>
            <w:r>
              <w:rPr>
                <w:noProof/>
                <w:webHidden/>
              </w:rPr>
              <w:tab/>
            </w:r>
            <w:r>
              <w:rPr>
                <w:noProof/>
                <w:webHidden/>
              </w:rPr>
              <w:fldChar w:fldCharType="begin"/>
            </w:r>
            <w:r>
              <w:rPr>
                <w:noProof/>
                <w:webHidden/>
              </w:rPr>
              <w:instrText xml:space="preserve"> PAGEREF _Toc242276212 \h </w:instrText>
            </w:r>
            <w:r>
              <w:rPr>
                <w:noProof/>
                <w:webHidden/>
              </w:rPr>
            </w:r>
            <w:r>
              <w:rPr>
                <w:noProof/>
                <w:webHidden/>
              </w:rPr>
              <w:fldChar w:fldCharType="separate"/>
            </w:r>
            <w:r w:rsidR="003F3DB7">
              <w:rPr>
                <w:noProof/>
                <w:webHidden/>
              </w:rPr>
              <w:t>11</w:t>
            </w:r>
            <w:r>
              <w:rPr>
                <w:noProof/>
                <w:webHidden/>
              </w:rPr>
              <w:fldChar w:fldCharType="end"/>
            </w:r>
          </w:hyperlink>
        </w:p>
        <w:p w14:paraId="23E802BD" w14:textId="7E2CB2B5" w:rsidR="008B7D9A" w:rsidRDefault="008B7D9A">
          <w:pPr>
            <w:pStyle w:val="TOC2"/>
            <w:tabs>
              <w:tab w:val="right" w:leader="dot" w:pos="9350"/>
            </w:tabs>
            <w:rPr>
              <w:rFonts w:asciiTheme="minorHAnsi" w:eastAsiaTheme="minorEastAsia" w:hAnsiTheme="minorHAnsi"/>
              <w:noProof/>
            </w:rPr>
          </w:pPr>
          <w:hyperlink w:anchor="_Toc242276213" w:history="1">
            <w:r w:rsidRPr="009F0CF3">
              <w:rPr>
                <w:rStyle w:val="Hyperlink"/>
                <w:rFonts w:ascii="Times New Roman" w:hAnsi="Times New Roman" w:cs="Times New Roman"/>
                <w:noProof/>
              </w:rPr>
              <w:t>Rule 19</w:t>
            </w:r>
            <w:r>
              <w:rPr>
                <w:noProof/>
                <w:webHidden/>
              </w:rPr>
              <w:tab/>
            </w:r>
            <w:r>
              <w:rPr>
                <w:noProof/>
                <w:webHidden/>
              </w:rPr>
              <w:fldChar w:fldCharType="begin"/>
            </w:r>
            <w:r>
              <w:rPr>
                <w:noProof/>
                <w:webHidden/>
              </w:rPr>
              <w:instrText xml:space="preserve"> PAGEREF _Toc242276213 \h </w:instrText>
            </w:r>
            <w:r>
              <w:rPr>
                <w:noProof/>
                <w:webHidden/>
              </w:rPr>
            </w:r>
            <w:r>
              <w:rPr>
                <w:noProof/>
                <w:webHidden/>
              </w:rPr>
              <w:fldChar w:fldCharType="separate"/>
            </w:r>
            <w:r w:rsidR="003F3DB7">
              <w:rPr>
                <w:noProof/>
                <w:webHidden/>
              </w:rPr>
              <w:t>12</w:t>
            </w:r>
            <w:r>
              <w:rPr>
                <w:noProof/>
                <w:webHidden/>
              </w:rPr>
              <w:fldChar w:fldCharType="end"/>
            </w:r>
          </w:hyperlink>
        </w:p>
        <w:p w14:paraId="16BDD006" w14:textId="4AAFDB75" w:rsidR="008B7D9A" w:rsidRDefault="008B7D9A">
          <w:pPr>
            <w:pStyle w:val="TOC2"/>
            <w:tabs>
              <w:tab w:val="right" w:leader="dot" w:pos="9350"/>
            </w:tabs>
            <w:rPr>
              <w:rFonts w:asciiTheme="minorHAnsi" w:eastAsiaTheme="minorEastAsia" w:hAnsiTheme="minorHAnsi"/>
              <w:noProof/>
            </w:rPr>
          </w:pPr>
          <w:hyperlink w:anchor="_Toc242276214" w:history="1">
            <w:r w:rsidRPr="009F0CF3">
              <w:rPr>
                <w:rStyle w:val="Hyperlink"/>
                <w:rFonts w:ascii="Times New Roman" w:hAnsi="Times New Roman" w:cs="Times New Roman"/>
                <w:noProof/>
              </w:rPr>
              <w:t>Rule 30(b)(5)–(6)</w:t>
            </w:r>
            <w:r>
              <w:rPr>
                <w:noProof/>
                <w:webHidden/>
              </w:rPr>
              <w:tab/>
            </w:r>
            <w:r>
              <w:rPr>
                <w:noProof/>
                <w:webHidden/>
              </w:rPr>
              <w:fldChar w:fldCharType="begin"/>
            </w:r>
            <w:r>
              <w:rPr>
                <w:noProof/>
                <w:webHidden/>
              </w:rPr>
              <w:instrText xml:space="preserve"> PAGEREF _Toc242276214 \h </w:instrText>
            </w:r>
            <w:r>
              <w:rPr>
                <w:noProof/>
                <w:webHidden/>
              </w:rPr>
            </w:r>
            <w:r>
              <w:rPr>
                <w:noProof/>
                <w:webHidden/>
              </w:rPr>
              <w:fldChar w:fldCharType="separate"/>
            </w:r>
            <w:r w:rsidR="003F3DB7">
              <w:rPr>
                <w:noProof/>
                <w:webHidden/>
              </w:rPr>
              <w:t>14</w:t>
            </w:r>
            <w:r>
              <w:rPr>
                <w:noProof/>
                <w:webHidden/>
              </w:rPr>
              <w:fldChar w:fldCharType="end"/>
            </w:r>
          </w:hyperlink>
        </w:p>
        <w:p w14:paraId="0AE234F9" w14:textId="58A4C9C8" w:rsidR="008B7D9A" w:rsidRDefault="008B7D9A">
          <w:pPr>
            <w:pStyle w:val="TOC2"/>
            <w:tabs>
              <w:tab w:val="right" w:leader="dot" w:pos="9350"/>
            </w:tabs>
            <w:rPr>
              <w:rFonts w:asciiTheme="minorHAnsi" w:eastAsiaTheme="minorEastAsia" w:hAnsiTheme="minorHAnsi"/>
              <w:noProof/>
            </w:rPr>
          </w:pPr>
          <w:hyperlink w:anchor="_Toc242276215" w:history="1">
            <w:r w:rsidRPr="009F0CF3">
              <w:rPr>
                <w:rStyle w:val="Hyperlink"/>
                <w:rFonts w:ascii="Times New Roman" w:hAnsi="Times New Roman" w:cs="Times New Roman"/>
                <w:noProof/>
              </w:rPr>
              <w:t>Rule 50</w:t>
            </w:r>
            <w:r>
              <w:rPr>
                <w:noProof/>
                <w:webHidden/>
              </w:rPr>
              <w:tab/>
            </w:r>
            <w:r>
              <w:rPr>
                <w:noProof/>
                <w:webHidden/>
              </w:rPr>
              <w:fldChar w:fldCharType="begin"/>
            </w:r>
            <w:r>
              <w:rPr>
                <w:noProof/>
                <w:webHidden/>
              </w:rPr>
              <w:instrText xml:space="preserve"> PAGEREF _Toc242276215 \h </w:instrText>
            </w:r>
            <w:r>
              <w:rPr>
                <w:noProof/>
                <w:webHidden/>
              </w:rPr>
            </w:r>
            <w:r>
              <w:rPr>
                <w:noProof/>
                <w:webHidden/>
              </w:rPr>
              <w:fldChar w:fldCharType="separate"/>
            </w:r>
            <w:r w:rsidR="003F3DB7">
              <w:rPr>
                <w:noProof/>
                <w:webHidden/>
              </w:rPr>
              <w:t>16</w:t>
            </w:r>
            <w:r>
              <w:rPr>
                <w:noProof/>
                <w:webHidden/>
              </w:rPr>
              <w:fldChar w:fldCharType="end"/>
            </w:r>
          </w:hyperlink>
        </w:p>
        <w:p w14:paraId="2316F02D" w14:textId="0FC5FC1C" w:rsidR="008B7D9A" w:rsidRDefault="008B7D9A">
          <w:pPr>
            <w:pStyle w:val="TOC2"/>
            <w:tabs>
              <w:tab w:val="right" w:leader="dot" w:pos="9350"/>
            </w:tabs>
            <w:rPr>
              <w:rFonts w:asciiTheme="minorHAnsi" w:eastAsiaTheme="minorEastAsia" w:hAnsiTheme="minorHAnsi"/>
              <w:noProof/>
            </w:rPr>
          </w:pPr>
          <w:hyperlink w:anchor="_Toc242276216" w:history="1">
            <w:r w:rsidRPr="009F0CF3">
              <w:rPr>
                <w:rStyle w:val="Hyperlink"/>
                <w:rFonts w:ascii="Times New Roman" w:hAnsi="Times New Roman" w:cs="Times New Roman"/>
                <w:noProof/>
              </w:rPr>
              <w:t>Rule 60(b)(6)</w:t>
            </w:r>
            <w:r>
              <w:rPr>
                <w:noProof/>
                <w:webHidden/>
              </w:rPr>
              <w:tab/>
            </w:r>
            <w:r>
              <w:rPr>
                <w:noProof/>
                <w:webHidden/>
              </w:rPr>
              <w:fldChar w:fldCharType="begin"/>
            </w:r>
            <w:r>
              <w:rPr>
                <w:noProof/>
                <w:webHidden/>
              </w:rPr>
              <w:instrText xml:space="preserve"> PAGEREF _Toc242276216 \h </w:instrText>
            </w:r>
            <w:r>
              <w:rPr>
                <w:noProof/>
                <w:webHidden/>
              </w:rPr>
            </w:r>
            <w:r>
              <w:rPr>
                <w:noProof/>
                <w:webHidden/>
              </w:rPr>
              <w:fldChar w:fldCharType="separate"/>
            </w:r>
            <w:r w:rsidR="003F3DB7">
              <w:rPr>
                <w:noProof/>
                <w:webHidden/>
              </w:rPr>
              <w:t>17</w:t>
            </w:r>
            <w:r>
              <w:rPr>
                <w:noProof/>
                <w:webHidden/>
              </w:rPr>
              <w:fldChar w:fldCharType="end"/>
            </w:r>
          </w:hyperlink>
        </w:p>
        <w:p w14:paraId="4208BF45" w14:textId="067A7FD0" w:rsidR="008B7D9A" w:rsidRDefault="008B7D9A">
          <w:pPr>
            <w:pStyle w:val="TOC2"/>
            <w:tabs>
              <w:tab w:val="right" w:leader="dot" w:pos="9350"/>
            </w:tabs>
            <w:rPr>
              <w:rFonts w:asciiTheme="minorHAnsi" w:eastAsiaTheme="minorEastAsia" w:hAnsiTheme="minorHAnsi"/>
              <w:noProof/>
            </w:rPr>
          </w:pPr>
          <w:hyperlink w:anchor="_Toc242276217" w:history="1">
            <w:r w:rsidRPr="009F0CF3">
              <w:rPr>
                <w:rStyle w:val="Hyperlink"/>
                <w:rFonts w:ascii="Times New Roman" w:hAnsi="Times New Roman" w:cs="Times New Roman"/>
                <w:noProof/>
              </w:rPr>
              <w:t>Subject Matter Jurisdiction in Workers Compensation</w:t>
            </w:r>
            <w:r>
              <w:rPr>
                <w:noProof/>
                <w:webHidden/>
              </w:rPr>
              <w:tab/>
            </w:r>
            <w:r>
              <w:rPr>
                <w:noProof/>
                <w:webHidden/>
              </w:rPr>
              <w:fldChar w:fldCharType="begin"/>
            </w:r>
            <w:r>
              <w:rPr>
                <w:noProof/>
                <w:webHidden/>
              </w:rPr>
              <w:instrText xml:space="preserve"> PAGEREF _Toc242276217 \h </w:instrText>
            </w:r>
            <w:r>
              <w:rPr>
                <w:noProof/>
                <w:webHidden/>
              </w:rPr>
            </w:r>
            <w:r>
              <w:rPr>
                <w:noProof/>
                <w:webHidden/>
              </w:rPr>
              <w:fldChar w:fldCharType="separate"/>
            </w:r>
            <w:r w:rsidR="003F3DB7">
              <w:rPr>
                <w:noProof/>
                <w:webHidden/>
              </w:rPr>
              <w:t>19</w:t>
            </w:r>
            <w:r>
              <w:rPr>
                <w:noProof/>
                <w:webHidden/>
              </w:rPr>
              <w:fldChar w:fldCharType="end"/>
            </w:r>
          </w:hyperlink>
        </w:p>
        <w:p w14:paraId="25700B03" w14:textId="649E9A7F" w:rsidR="00284288" w:rsidRPr="003F6B7E" w:rsidRDefault="00284288">
          <w:pPr>
            <w:rPr>
              <w:rFonts w:ascii="Times New Roman" w:hAnsi="Times New Roman" w:cs="Times New Roman"/>
            </w:rPr>
          </w:pPr>
          <w:r w:rsidRPr="003F6B7E">
            <w:rPr>
              <w:rFonts w:ascii="Times New Roman" w:hAnsi="Times New Roman" w:cs="Times New Roman"/>
              <w:b/>
              <w:bCs/>
              <w:noProof/>
            </w:rPr>
            <w:fldChar w:fldCharType="end"/>
          </w:r>
        </w:p>
      </w:sdtContent>
    </w:sdt>
    <w:p w14:paraId="01F6BE5E" w14:textId="77777777" w:rsidR="00223C1A" w:rsidRPr="003F6B7E" w:rsidRDefault="00223C1A" w:rsidP="00930F0E">
      <w:pPr>
        <w:rPr>
          <w:rFonts w:ascii="Times New Roman" w:hAnsi="Times New Roman" w:cs="Times New Roman"/>
          <w:b/>
          <w:bCs/>
        </w:rPr>
      </w:pPr>
    </w:p>
    <w:p w14:paraId="63D3E904" w14:textId="77777777" w:rsidR="00223C1A" w:rsidRPr="003F6B7E" w:rsidRDefault="00223C1A" w:rsidP="00930F0E">
      <w:pPr>
        <w:rPr>
          <w:rFonts w:ascii="Times New Roman" w:hAnsi="Times New Roman" w:cs="Times New Roman"/>
          <w:b/>
          <w:bCs/>
        </w:rPr>
      </w:pPr>
    </w:p>
    <w:p w14:paraId="59CF9B84" w14:textId="1A9C66CF" w:rsidR="0043095F" w:rsidRPr="003F6B7E" w:rsidRDefault="00930342" w:rsidP="00DE5059">
      <w:pPr>
        <w:pStyle w:val="Heading2"/>
        <w:rPr>
          <w:rFonts w:ascii="Times New Roman" w:hAnsi="Times New Roman" w:cs="Times New Roman"/>
        </w:rPr>
      </w:pPr>
      <w:bookmarkStart w:id="0" w:name="_Toc242276207"/>
      <w:r w:rsidRPr="003F6B7E">
        <w:rPr>
          <w:rFonts w:ascii="Times New Roman" w:hAnsi="Times New Roman" w:cs="Times New Roman"/>
        </w:rPr>
        <w:t>Administrative Proceedings</w:t>
      </w:r>
      <w:bookmarkEnd w:id="0"/>
    </w:p>
    <w:p w14:paraId="527D9022" w14:textId="2C310FD1" w:rsidR="0085097A" w:rsidRPr="003F6B7E" w:rsidRDefault="0085097A" w:rsidP="003E5583">
      <w:pPr>
        <w:spacing w:line="240" w:lineRule="auto"/>
        <w:rPr>
          <w:rFonts w:ascii="Times New Roman" w:hAnsi="Times New Roman" w:cs="Times New Roman"/>
          <w:b/>
          <w:bCs/>
        </w:rPr>
      </w:pPr>
      <w:r w:rsidRPr="003F6B7E">
        <w:rPr>
          <w:rFonts w:ascii="Times New Roman" w:hAnsi="Times New Roman" w:cs="Times New Roman"/>
          <w:b/>
          <w:bCs/>
        </w:rPr>
        <w:t>When a claim in a contested case has the effect of bringing a facial constitutional challenge to a statute, the Office of Administrative Hearings has no authority to consider the challenge, and it must be brought before the judicial branch.</w:t>
      </w:r>
    </w:p>
    <w:p w14:paraId="1C4FE6E4" w14:textId="77777777" w:rsidR="003E4487" w:rsidRPr="003F6B7E" w:rsidRDefault="003E4487" w:rsidP="003E5583">
      <w:pPr>
        <w:spacing w:line="240" w:lineRule="auto"/>
        <w:rPr>
          <w:rFonts w:ascii="Times New Roman" w:hAnsi="Times New Roman" w:cs="Times New Roman"/>
          <w:b/>
          <w:bCs/>
        </w:rPr>
      </w:pPr>
    </w:p>
    <w:p w14:paraId="7A8C7454" w14:textId="56C88393" w:rsidR="00A679EB" w:rsidRPr="003F6B7E" w:rsidRDefault="00A679EB" w:rsidP="00A679EB">
      <w:pPr>
        <w:rPr>
          <w:rFonts w:ascii="Times New Roman" w:hAnsi="Times New Roman" w:cs="Times New Roman"/>
        </w:rPr>
      </w:pPr>
      <w:hyperlink r:id="rId7" w:history="1">
        <w:r w:rsidRPr="003F6B7E">
          <w:rPr>
            <w:rStyle w:val="Hyperlink"/>
            <w:rFonts w:ascii="Times New Roman" w:hAnsi="Times New Roman" w:cs="Times New Roman"/>
          </w:rPr>
          <w:t>Lemaster v. N.C. Dep’t of State Treasurer</w:t>
        </w:r>
      </w:hyperlink>
      <w:r w:rsidR="007E70D0" w:rsidRPr="003F6B7E">
        <w:rPr>
          <w:rFonts w:ascii="Times New Roman" w:hAnsi="Times New Roman" w:cs="Times New Roman"/>
        </w:rPr>
        <w:t>,</w:t>
      </w:r>
      <w:r w:rsidR="009478F4" w:rsidRPr="003F6B7E">
        <w:rPr>
          <w:rFonts w:ascii="Times New Roman" w:hAnsi="Times New Roman" w:cs="Times New Roman"/>
        </w:rPr>
        <w:t xml:space="preserve"> COA25-929</w:t>
      </w:r>
      <w:r w:rsidR="00930342" w:rsidRPr="003F6B7E">
        <w:rPr>
          <w:rFonts w:ascii="Times New Roman" w:hAnsi="Times New Roman" w:cs="Times New Roman"/>
        </w:rPr>
        <w:t xml:space="preserve"> (N.C. Ct.  App. Jun. 17, 2026)</w:t>
      </w:r>
      <w:r w:rsidR="0088252E" w:rsidRPr="003F6B7E">
        <w:rPr>
          <w:rFonts w:ascii="Times New Roman" w:hAnsi="Times New Roman" w:cs="Times New Roman"/>
        </w:rPr>
        <w:t xml:space="preserve"> (Zachary)</w:t>
      </w:r>
      <w:r w:rsidR="00492AC6" w:rsidRPr="003F6B7E">
        <w:rPr>
          <w:rFonts w:ascii="Times New Roman" w:hAnsi="Times New Roman" w:cs="Times New Roman"/>
        </w:rPr>
        <w:t xml:space="preserve"> (Union)</w:t>
      </w:r>
      <w:r w:rsidR="0088252E" w:rsidRPr="003F6B7E">
        <w:rPr>
          <w:rFonts w:ascii="Times New Roman" w:hAnsi="Times New Roman" w:cs="Times New Roman"/>
        </w:rPr>
        <w:t>.</w:t>
      </w:r>
      <w:r w:rsidR="00520247" w:rsidRPr="003F6B7E">
        <w:rPr>
          <w:rFonts w:ascii="Times New Roman" w:hAnsi="Times New Roman" w:cs="Times New Roman"/>
        </w:rPr>
        <w:t xml:space="preserve"> </w:t>
      </w:r>
      <w:r w:rsidRPr="003F6B7E">
        <w:rPr>
          <w:rFonts w:ascii="Times New Roman" w:hAnsi="Times New Roman" w:cs="Times New Roman"/>
        </w:rPr>
        <w:t xml:space="preserve">State employee filed contested case to challenge formula under which repurchase of credited service years was calculated. </w:t>
      </w:r>
      <w:r w:rsidR="008F51BF" w:rsidRPr="003F6B7E">
        <w:rPr>
          <w:rFonts w:ascii="Times New Roman" w:hAnsi="Times New Roman" w:cs="Times New Roman"/>
        </w:rPr>
        <w:t>The Administrative Law Judge</w:t>
      </w:r>
      <w:r w:rsidR="00F718BF" w:rsidRPr="003F6B7E">
        <w:rPr>
          <w:rFonts w:ascii="Times New Roman" w:hAnsi="Times New Roman" w:cs="Times New Roman"/>
        </w:rPr>
        <w:t xml:space="preserve"> (ALJ)</w:t>
      </w:r>
      <w:r w:rsidR="008F51BF" w:rsidRPr="003F6B7E">
        <w:rPr>
          <w:rFonts w:ascii="Times New Roman" w:hAnsi="Times New Roman" w:cs="Times New Roman"/>
        </w:rPr>
        <w:t xml:space="preserve"> </w:t>
      </w:r>
      <w:r w:rsidRPr="003F6B7E">
        <w:rPr>
          <w:rFonts w:ascii="Times New Roman" w:hAnsi="Times New Roman" w:cs="Times New Roman"/>
        </w:rPr>
        <w:t xml:space="preserve">in </w:t>
      </w:r>
      <w:r w:rsidR="008F51BF" w:rsidRPr="003F6B7E">
        <w:rPr>
          <w:rFonts w:ascii="Times New Roman" w:hAnsi="Times New Roman" w:cs="Times New Roman"/>
        </w:rPr>
        <w:t xml:space="preserve">the Office of Administrative Hearings (OAH) </w:t>
      </w:r>
      <w:r w:rsidRPr="003F6B7E">
        <w:rPr>
          <w:rFonts w:ascii="Times New Roman" w:hAnsi="Times New Roman" w:cs="Times New Roman"/>
        </w:rPr>
        <w:t>concluded that it lacked subject matter jurisdiction to hear the challenge. On appeal, the superior court agreed that the OAH lacked subject matter jurisdiction.</w:t>
      </w:r>
      <w:r w:rsidR="00535C8F" w:rsidRPr="003F6B7E">
        <w:rPr>
          <w:rFonts w:ascii="Times New Roman" w:hAnsi="Times New Roman" w:cs="Times New Roman"/>
        </w:rPr>
        <w:t xml:space="preserve"> The court of appeals held that the superior court did not err </w:t>
      </w:r>
      <w:r w:rsidR="00F718BF" w:rsidRPr="003F6B7E">
        <w:rPr>
          <w:rFonts w:ascii="Times New Roman" w:hAnsi="Times New Roman" w:cs="Times New Roman"/>
        </w:rPr>
        <w:t xml:space="preserve">in affirming the ALJ’s decision because the OAH </w:t>
      </w:r>
      <w:r w:rsidR="00341952" w:rsidRPr="003F6B7E">
        <w:rPr>
          <w:rFonts w:ascii="Times New Roman" w:hAnsi="Times New Roman" w:cs="Times New Roman"/>
        </w:rPr>
        <w:t>“is a creature of the statute creating it and has only those powers expressly granted to it or those powers included by necessary implication from the legislative grant of authority</w:t>
      </w:r>
      <w:r w:rsidR="00F718BF" w:rsidRPr="003F6B7E">
        <w:rPr>
          <w:rFonts w:ascii="Times New Roman" w:hAnsi="Times New Roman" w:cs="Times New Roman"/>
        </w:rPr>
        <w:t>.</w:t>
      </w:r>
      <w:r w:rsidR="00341952" w:rsidRPr="003F6B7E">
        <w:rPr>
          <w:rFonts w:ascii="Times New Roman" w:hAnsi="Times New Roman" w:cs="Times New Roman"/>
        </w:rPr>
        <w:t>” Slip op. at 4 (cleaned up).</w:t>
      </w:r>
      <w:r w:rsidR="00C21268" w:rsidRPr="003F6B7E">
        <w:rPr>
          <w:rFonts w:ascii="Times New Roman" w:hAnsi="Times New Roman" w:cs="Times New Roman"/>
        </w:rPr>
        <w:t xml:space="preserve"> Chapter 150B of the General Statutes grants the OAH the power to hear matters </w:t>
      </w:r>
      <w:r w:rsidR="001E4ED0" w:rsidRPr="003F6B7E">
        <w:rPr>
          <w:rFonts w:ascii="Times New Roman" w:hAnsi="Times New Roman" w:cs="Times New Roman"/>
        </w:rPr>
        <w:t xml:space="preserve">in which </w:t>
      </w:r>
      <w:r w:rsidR="00C21268" w:rsidRPr="003F6B7E">
        <w:rPr>
          <w:rFonts w:ascii="Times New Roman" w:hAnsi="Times New Roman" w:cs="Times New Roman"/>
        </w:rPr>
        <w:t xml:space="preserve">an agency acted </w:t>
      </w:r>
      <w:r w:rsidR="00C50755" w:rsidRPr="003F6B7E">
        <w:rPr>
          <w:rFonts w:ascii="Times New Roman" w:hAnsi="Times New Roman" w:cs="Times New Roman"/>
        </w:rPr>
        <w:t xml:space="preserve">outside its authority, but the state employee’s claim would ask the OAH to determine whether </w:t>
      </w:r>
      <w:r w:rsidR="006A37A2" w:rsidRPr="003F6B7E">
        <w:rPr>
          <w:rFonts w:ascii="Times New Roman" w:hAnsi="Times New Roman" w:cs="Times New Roman"/>
        </w:rPr>
        <w:t xml:space="preserve">the repeal of a statute impaired a vested contractual right—in other words, whether the repeal of the statute </w:t>
      </w:r>
      <w:r w:rsidR="0057776A" w:rsidRPr="003F6B7E">
        <w:rPr>
          <w:rFonts w:ascii="Times New Roman" w:hAnsi="Times New Roman" w:cs="Times New Roman"/>
        </w:rPr>
        <w:t xml:space="preserve">violated the United States constitution on its face. The court of appeals </w:t>
      </w:r>
      <w:r w:rsidR="00753576" w:rsidRPr="003F6B7E">
        <w:rPr>
          <w:rFonts w:ascii="Times New Roman" w:hAnsi="Times New Roman" w:cs="Times New Roman"/>
        </w:rPr>
        <w:t xml:space="preserve">further </w:t>
      </w:r>
      <w:r w:rsidR="0057776A" w:rsidRPr="003F6B7E">
        <w:rPr>
          <w:rFonts w:ascii="Times New Roman" w:hAnsi="Times New Roman" w:cs="Times New Roman"/>
        </w:rPr>
        <w:t xml:space="preserve">held that this is a question only for the judicial branch. </w:t>
      </w:r>
    </w:p>
    <w:p w14:paraId="279F7012" w14:textId="77777777" w:rsidR="00B60944" w:rsidRPr="003F6B7E" w:rsidRDefault="00B60944" w:rsidP="00A679EB">
      <w:pPr>
        <w:rPr>
          <w:rFonts w:ascii="Times New Roman" w:hAnsi="Times New Roman" w:cs="Times New Roman"/>
        </w:rPr>
      </w:pPr>
    </w:p>
    <w:p w14:paraId="3BE6C9C1" w14:textId="17C4A7FF" w:rsidR="00B60944" w:rsidRPr="003F6B7E" w:rsidRDefault="00B60944" w:rsidP="00DE5059">
      <w:pPr>
        <w:pStyle w:val="Heading2"/>
        <w:rPr>
          <w:rFonts w:ascii="Times New Roman" w:hAnsi="Times New Roman" w:cs="Times New Roman"/>
        </w:rPr>
      </w:pPr>
      <w:bookmarkStart w:id="1" w:name="_Toc242276208"/>
      <w:r w:rsidRPr="003F6B7E">
        <w:rPr>
          <w:rFonts w:ascii="Times New Roman" w:hAnsi="Times New Roman" w:cs="Times New Roman"/>
        </w:rPr>
        <w:t>Arbitration</w:t>
      </w:r>
      <w:bookmarkEnd w:id="1"/>
    </w:p>
    <w:p w14:paraId="0C0CDD26" w14:textId="76496B94" w:rsidR="00B60944" w:rsidRPr="003F6B7E" w:rsidRDefault="00B60944" w:rsidP="00E35B08">
      <w:pPr>
        <w:spacing w:line="240" w:lineRule="auto"/>
        <w:rPr>
          <w:rFonts w:ascii="Times New Roman" w:hAnsi="Times New Roman" w:cs="Times New Roman"/>
          <w:b/>
          <w:bCs/>
        </w:rPr>
      </w:pPr>
      <w:r w:rsidRPr="003F6B7E">
        <w:rPr>
          <w:rFonts w:ascii="Times New Roman" w:hAnsi="Times New Roman" w:cs="Times New Roman"/>
          <w:b/>
          <w:bCs/>
        </w:rPr>
        <w:t xml:space="preserve">The trial court erred by failing to address the Federal Arbitration Act and entering an order compelling arbitration to be held in North Carolina when defendant alleged that the contract involved interstate commerce and contained an exclusive forum-selection clause that arbitration be held in Michigan, and plaintiff did not produce evidence to rebut such allegations. </w:t>
      </w:r>
    </w:p>
    <w:p w14:paraId="16A74EB7" w14:textId="77777777" w:rsidR="00E35B08" w:rsidRPr="003F6B7E" w:rsidRDefault="00E35B08" w:rsidP="00E35B08">
      <w:pPr>
        <w:spacing w:line="240" w:lineRule="auto"/>
        <w:rPr>
          <w:rFonts w:ascii="Times New Roman" w:hAnsi="Times New Roman" w:cs="Times New Roman"/>
          <w:b/>
          <w:bCs/>
        </w:rPr>
      </w:pPr>
    </w:p>
    <w:p w14:paraId="648C9F71" w14:textId="65733609" w:rsidR="00B60944" w:rsidRPr="003F6B7E" w:rsidRDefault="00B60944" w:rsidP="00B60944">
      <w:pPr>
        <w:rPr>
          <w:rFonts w:ascii="Times New Roman" w:hAnsi="Times New Roman" w:cs="Times New Roman"/>
        </w:rPr>
      </w:pPr>
      <w:hyperlink r:id="rId8" w:history="1">
        <w:r w:rsidRPr="003F6B7E">
          <w:rPr>
            <w:rStyle w:val="Hyperlink"/>
            <w:rFonts w:ascii="Times New Roman" w:hAnsi="Times New Roman" w:cs="Times New Roman"/>
          </w:rPr>
          <w:t>Snipes Concrete &amp; Hauling, LLC v. BC Constr. Grp., Inc.</w:t>
        </w:r>
      </w:hyperlink>
      <w:r w:rsidRPr="003F6B7E">
        <w:rPr>
          <w:rFonts w:ascii="Times New Roman" w:hAnsi="Times New Roman" w:cs="Times New Roman"/>
          <w:b/>
          <w:bCs/>
        </w:rPr>
        <w:t xml:space="preserve">, </w:t>
      </w:r>
      <w:r w:rsidRPr="003F6B7E">
        <w:rPr>
          <w:rFonts w:ascii="Times New Roman" w:hAnsi="Times New Roman" w:cs="Times New Roman"/>
        </w:rPr>
        <w:t>COA25-234 (N.C. Ct.  App. Aug. 19, 2026) (Stroud) (Durham). Subcontractor plaintiff filed suit in superior court alleging Michigan-based defendant general contractor failed to pay for its work. Defendant moved to dismiss, or in the alternative, to stay proceedings and compel arbitration in Michigan</w:t>
      </w:r>
      <w:r w:rsidR="00F37FC8" w:rsidRPr="003F6B7E">
        <w:rPr>
          <w:rFonts w:ascii="Times New Roman" w:hAnsi="Times New Roman" w:cs="Times New Roman"/>
        </w:rPr>
        <w:t xml:space="preserve"> pursuant to the Federal Arbitration Act</w:t>
      </w:r>
      <w:r w:rsidR="00520B5D" w:rsidRPr="003F6B7E">
        <w:rPr>
          <w:rFonts w:ascii="Times New Roman" w:hAnsi="Times New Roman" w:cs="Times New Roman"/>
        </w:rPr>
        <w:t xml:space="preserve">, </w:t>
      </w:r>
      <w:r w:rsidR="00895394" w:rsidRPr="003F6B7E">
        <w:rPr>
          <w:rFonts w:ascii="Times New Roman" w:hAnsi="Times New Roman" w:cs="Times New Roman"/>
        </w:rPr>
        <w:t>alleging that the contract involved interstate commerce</w:t>
      </w:r>
      <w:r w:rsidRPr="003F6B7E">
        <w:rPr>
          <w:rFonts w:ascii="Times New Roman" w:hAnsi="Times New Roman" w:cs="Times New Roman"/>
        </w:rPr>
        <w:t xml:space="preserve">. Plaintiff produced evidence that the contract was executed in North Carolina, the labor was performed in North Carolina, and that plaintiff sourced materials and supplied equipment in North Carolina.  Defendant responded with evidence that preconstruction and design work occurred in Michigan and other locations outside North Carolina. The trial court granted defendant’s motion to stay proceedings and compel arbitration and ordered that arbitration be held in North Carolina. Defendant appealed. Plaintiff relied on G.S. 22B-2, which voids provisions in contracts to improve real property that make the contract “subject to the laws of another state, or provides that the exclusive forum for any litigation, arbitration or other dispute resolution process is located in another state.” </w:t>
      </w:r>
    </w:p>
    <w:p w14:paraId="01CDAB70" w14:textId="77777777" w:rsidR="00B60944" w:rsidRPr="003F6B7E" w:rsidRDefault="00B60944" w:rsidP="00B60944">
      <w:pPr>
        <w:rPr>
          <w:rFonts w:ascii="Times New Roman" w:hAnsi="Times New Roman" w:cs="Times New Roman"/>
        </w:rPr>
      </w:pPr>
    </w:p>
    <w:p w14:paraId="5C2864B0" w14:textId="3747172E" w:rsidR="00D749E0" w:rsidRPr="003F6B7E" w:rsidRDefault="00B60944" w:rsidP="008B7D9A">
      <w:pPr>
        <w:rPr>
          <w:rFonts w:ascii="Times New Roman" w:hAnsi="Times New Roman" w:cs="Times New Roman"/>
        </w:rPr>
      </w:pPr>
      <w:r w:rsidRPr="003F6B7E">
        <w:rPr>
          <w:rFonts w:ascii="Times New Roman" w:hAnsi="Times New Roman" w:cs="Times New Roman"/>
        </w:rPr>
        <w:t xml:space="preserve">The NCCOA reasoned that the Federal Arbitration Act pre-empts G.S. 22B-2 when a contract involves interstate commerce. </w:t>
      </w:r>
      <w:r w:rsidRPr="003F6B7E">
        <w:rPr>
          <w:rFonts w:ascii="Times New Roman" w:hAnsi="Times New Roman" w:cs="Times New Roman"/>
          <w:i/>
          <w:iCs/>
        </w:rPr>
        <w:t>See also Earnhardt Plumbing, LLC v. Thomas Builders, Inc.</w:t>
      </w:r>
      <w:r w:rsidRPr="003F6B7E">
        <w:rPr>
          <w:rFonts w:ascii="Times New Roman" w:hAnsi="Times New Roman" w:cs="Times New Roman"/>
        </w:rPr>
        <w:t>, 291 N.C. App. 1 (2023) (</w:t>
      </w:r>
      <w:r w:rsidRPr="003F6B7E">
        <w:rPr>
          <w:rFonts w:ascii="Times New Roman" w:hAnsi="Times New Roman" w:cs="Times New Roman"/>
          <w:i/>
          <w:iCs/>
        </w:rPr>
        <w:t>Earnhardt I</w:t>
      </w:r>
      <w:r w:rsidRPr="003F6B7E">
        <w:rPr>
          <w:rFonts w:ascii="Times New Roman" w:hAnsi="Times New Roman" w:cs="Times New Roman"/>
        </w:rPr>
        <w:t xml:space="preserve">) (“[W]ithout additional findings of fact, we cannot evaluate the underlying question of whether the FAA applies in this case.”).  </w:t>
      </w:r>
      <w:r w:rsidR="00D90AF5" w:rsidRPr="003F6B7E">
        <w:rPr>
          <w:rFonts w:ascii="Times New Roman" w:hAnsi="Times New Roman" w:cs="Times New Roman"/>
        </w:rPr>
        <w:t>An a</w:t>
      </w:r>
      <w:r w:rsidRPr="003F6B7E">
        <w:rPr>
          <w:rFonts w:ascii="Times New Roman" w:hAnsi="Times New Roman" w:cs="Times New Roman"/>
        </w:rPr>
        <w:t>llegation that a contract involves interstate commerce invoke</w:t>
      </w:r>
      <w:r w:rsidR="00D90AF5" w:rsidRPr="003F6B7E">
        <w:rPr>
          <w:rFonts w:ascii="Times New Roman" w:hAnsi="Times New Roman" w:cs="Times New Roman"/>
        </w:rPr>
        <w:t>s</w:t>
      </w:r>
      <w:r w:rsidRPr="003F6B7E">
        <w:rPr>
          <w:rFonts w:ascii="Times New Roman" w:hAnsi="Times New Roman" w:cs="Times New Roman"/>
        </w:rPr>
        <w:t xml:space="preserve"> the Federal Arbitration Act and shift</w:t>
      </w:r>
      <w:r w:rsidR="00D90AF5" w:rsidRPr="003F6B7E">
        <w:rPr>
          <w:rFonts w:ascii="Times New Roman" w:hAnsi="Times New Roman" w:cs="Times New Roman"/>
        </w:rPr>
        <w:t>s</w:t>
      </w:r>
      <w:r w:rsidRPr="003F6B7E">
        <w:rPr>
          <w:rFonts w:ascii="Times New Roman" w:hAnsi="Times New Roman" w:cs="Times New Roman"/>
        </w:rPr>
        <w:t xml:space="preserve"> the burden to the plaintiff to produce evidence to rebut the allegation. </w:t>
      </w:r>
      <w:r w:rsidRPr="003F6B7E">
        <w:rPr>
          <w:rFonts w:ascii="Times New Roman" w:hAnsi="Times New Roman" w:cs="Times New Roman"/>
          <w:i/>
          <w:iCs/>
        </w:rPr>
        <w:t>See also</w:t>
      </w:r>
      <w:r w:rsidRPr="003F6B7E">
        <w:rPr>
          <w:rFonts w:ascii="Times New Roman" w:hAnsi="Times New Roman" w:cs="Times New Roman"/>
        </w:rPr>
        <w:t xml:space="preserve"> </w:t>
      </w:r>
      <w:r w:rsidRPr="003F6B7E">
        <w:rPr>
          <w:rFonts w:ascii="Times New Roman" w:hAnsi="Times New Roman" w:cs="Times New Roman"/>
          <w:i/>
          <w:iCs/>
        </w:rPr>
        <w:t>Earnhardt Plumbing, LLC v. Thomas Builders, Inc.</w:t>
      </w:r>
      <w:r w:rsidRPr="003F6B7E">
        <w:rPr>
          <w:rFonts w:ascii="Times New Roman" w:hAnsi="Times New Roman" w:cs="Times New Roman"/>
        </w:rPr>
        <w:t>, 301 N.C. App. 586 (2025) (</w:t>
      </w:r>
      <w:r w:rsidRPr="003F6B7E">
        <w:rPr>
          <w:rFonts w:ascii="Times New Roman" w:hAnsi="Times New Roman" w:cs="Times New Roman"/>
          <w:i/>
          <w:iCs/>
        </w:rPr>
        <w:t>Earnhardt II</w:t>
      </w:r>
      <w:r w:rsidRPr="003F6B7E">
        <w:rPr>
          <w:rFonts w:ascii="Times New Roman" w:hAnsi="Times New Roman" w:cs="Times New Roman"/>
        </w:rPr>
        <w:t xml:space="preserve">). If the plaintiff cannot produce evidence to rebut the allegation, then federal law compels arbitration according to the exclusive </w:t>
      </w:r>
      <w:r w:rsidRPr="003F6B7E">
        <w:rPr>
          <w:rFonts w:ascii="Times New Roman" w:hAnsi="Times New Roman" w:cs="Times New Roman"/>
        </w:rPr>
        <w:lastRenderedPageBreak/>
        <w:t xml:space="preserve">forum-selection clause in the contract. The takeaway for the trial court is that on a motion to compel arbitration, if the movant alleges that the contract involves interstate commerce, the trial court </w:t>
      </w:r>
      <w:r w:rsidR="00FF0523" w:rsidRPr="003F6B7E">
        <w:rPr>
          <w:rFonts w:ascii="Times New Roman" w:hAnsi="Times New Roman" w:cs="Times New Roman"/>
        </w:rPr>
        <w:t xml:space="preserve">must </w:t>
      </w:r>
      <w:r w:rsidRPr="003F6B7E">
        <w:rPr>
          <w:rFonts w:ascii="Times New Roman" w:hAnsi="Times New Roman" w:cs="Times New Roman"/>
        </w:rPr>
        <w:t>make findings of fact</w:t>
      </w:r>
      <w:r w:rsidR="00A02C0A" w:rsidRPr="003F6B7E">
        <w:rPr>
          <w:rFonts w:ascii="Times New Roman" w:hAnsi="Times New Roman" w:cs="Times New Roman"/>
        </w:rPr>
        <w:t xml:space="preserve"> and conclusions of law deciding that issue</w:t>
      </w:r>
      <w:r w:rsidRPr="003F6B7E">
        <w:rPr>
          <w:rFonts w:ascii="Times New Roman" w:hAnsi="Times New Roman" w:cs="Times New Roman"/>
        </w:rPr>
        <w:t>.</w:t>
      </w:r>
    </w:p>
    <w:p w14:paraId="6D442F51" w14:textId="77777777" w:rsidR="00B60944" w:rsidRPr="003F6B7E" w:rsidRDefault="00B60944" w:rsidP="00B60944">
      <w:pPr>
        <w:rPr>
          <w:rFonts w:ascii="Times New Roman" w:hAnsi="Times New Roman" w:cs="Times New Roman"/>
        </w:rPr>
      </w:pPr>
    </w:p>
    <w:p w14:paraId="2D66DADD" w14:textId="7D3A84BC" w:rsidR="00B60944" w:rsidRPr="003F6B7E" w:rsidRDefault="00B60944" w:rsidP="00B60944">
      <w:pPr>
        <w:spacing w:line="240" w:lineRule="auto"/>
        <w:rPr>
          <w:rFonts w:ascii="Times New Roman" w:hAnsi="Times New Roman" w:cs="Times New Roman"/>
          <w:b/>
          <w:bCs/>
        </w:rPr>
      </w:pPr>
      <w:r w:rsidRPr="003F6B7E">
        <w:rPr>
          <w:rFonts w:ascii="Times New Roman" w:hAnsi="Times New Roman" w:cs="Times New Roman"/>
          <w:b/>
          <w:bCs/>
        </w:rPr>
        <w:t xml:space="preserve">No error when trial court denied </w:t>
      </w:r>
      <w:r w:rsidR="00FB2EC4" w:rsidRPr="003F6B7E">
        <w:rPr>
          <w:rFonts w:ascii="Times New Roman" w:hAnsi="Times New Roman" w:cs="Times New Roman"/>
          <w:b/>
          <w:bCs/>
        </w:rPr>
        <w:t xml:space="preserve">defendant’s </w:t>
      </w:r>
      <w:r w:rsidRPr="003F6B7E">
        <w:rPr>
          <w:rFonts w:ascii="Times New Roman" w:hAnsi="Times New Roman" w:cs="Times New Roman"/>
          <w:b/>
          <w:bCs/>
        </w:rPr>
        <w:t xml:space="preserve">motion to compel </w:t>
      </w:r>
      <w:r w:rsidR="0031061D" w:rsidRPr="003F6B7E">
        <w:rPr>
          <w:rFonts w:ascii="Times New Roman" w:hAnsi="Times New Roman" w:cs="Times New Roman"/>
          <w:b/>
          <w:bCs/>
        </w:rPr>
        <w:t xml:space="preserve">arbitration </w:t>
      </w:r>
      <w:r w:rsidRPr="003F6B7E">
        <w:rPr>
          <w:rFonts w:ascii="Times New Roman" w:hAnsi="Times New Roman" w:cs="Times New Roman"/>
          <w:b/>
          <w:bCs/>
        </w:rPr>
        <w:t xml:space="preserve">brought by </w:t>
      </w:r>
      <w:r w:rsidR="00FB2EC4" w:rsidRPr="003F6B7E">
        <w:rPr>
          <w:rFonts w:ascii="Times New Roman" w:hAnsi="Times New Roman" w:cs="Times New Roman"/>
          <w:b/>
          <w:bCs/>
        </w:rPr>
        <w:t xml:space="preserve">a </w:t>
      </w:r>
      <w:r w:rsidRPr="003F6B7E">
        <w:rPr>
          <w:rFonts w:ascii="Times New Roman" w:hAnsi="Times New Roman" w:cs="Times New Roman"/>
          <w:b/>
          <w:bCs/>
        </w:rPr>
        <w:t>defendant who was not a signatory to the arbitration clause</w:t>
      </w:r>
      <w:r w:rsidR="0031061D" w:rsidRPr="003F6B7E">
        <w:rPr>
          <w:rFonts w:ascii="Times New Roman" w:hAnsi="Times New Roman" w:cs="Times New Roman"/>
          <w:b/>
          <w:bCs/>
        </w:rPr>
        <w:t xml:space="preserve"> as long as </w:t>
      </w:r>
      <w:r w:rsidRPr="003F6B7E">
        <w:rPr>
          <w:rFonts w:ascii="Times New Roman" w:hAnsi="Times New Roman" w:cs="Times New Roman"/>
          <w:b/>
          <w:bCs/>
        </w:rPr>
        <w:t xml:space="preserve">plaintiff’s </w:t>
      </w:r>
      <w:r w:rsidR="00FB2EC4" w:rsidRPr="003F6B7E">
        <w:rPr>
          <w:rFonts w:ascii="Times New Roman" w:hAnsi="Times New Roman" w:cs="Times New Roman"/>
          <w:b/>
          <w:bCs/>
        </w:rPr>
        <w:t xml:space="preserve">statutory </w:t>
      </w:r>
      <w:r w:rsidRPr="003F6B7E">
        <w:rPr>
          <w:rFonts w:ascii="Times New Roman" w:hAnsi="Times New Roman" w:cs="Times New Roman"/>
          <w:b/>
          <w:bCs/>
        </w:rPr>
        <w:t xml:space="preserve">and tort claims did not depend on the contract containing the arbitration clause. </w:t>
      </w:r>
    </w:p>
    <w:p w14:paraId="5DE7136B" w14:textId="77777777" w:rsidR="00B60944" w:rsidRPr="003F6B7E" w:rsidRDefault="00B60944" w:rsidP="00B60944">
      <w:pPr>
        <w:spacing w:line="240" w:lineRule="auto"/>
        <w:rPr>
          <w:rFonts w:ascii="Times New Roman" w:hAnsi="Times New Roman" w:cs="Times New Roman"/>
          <w:b/>
          <w:bCs/>
        </w:rPr>
      </w:pPr>
    </w:p>
    <w:p w14:paraId="04E0E67D" w14:textId="77777777" w:rsidR="00B60944" w:rsidRPr="003F6B7E" w:rsidRDefault="00B60944" w:rsidP="00B60944">
      <w:pPr>
        <w:spacing w:line="240" w:lineRule="auto"/>
        <w:rPr>
          <w:rFonts w:ascii="Times New Roman" w:hAnsi="Times New Roman" w:cs="Times New Roman"/>
          <w:b/>
          <w:bCs/>
        </w:rPr>
      </w:pPr>
    </w:p>
    <w:p w14:paraId="42F6EB21" w14:textId="496A5F4F" w:rsidR="00B60944" w:rsidRPr="003F6B7E" w:rsidRDefault="00B60944" w:rsidP="00B60944">
      <w:pPr>
        <w:rPr>
          <w:rFonts w:ascii="Times New Roman" w:hAnsi="Times New Roman" w:cs="Times New Roman"/>
        </w:rPr>
      </w:pPr>
      <w:hyperlink r:id="rId9" w:history="1">
        <w:r w:rsidRPr="003F6B7E">
          <w:rPr>
            <w:rStyle w:val="Hyperlink"/>
            <w:rFonts w:ascii="Times New Roman" w:hAnsi="Times New Roman" w:cs="Times New Roman"/>
          </w:rPr>
          <w:t>Al Dajih v. BFS Operations, LLC</w:t>
        </w:r>
      </w:hyperlink>
      <w:r w:rsidRPr="003F6B7E">
        <w:rPr>
          <w:rFonts w:ascii="Times New Roman" w:hAnsi="Times New Roman" w:cs="Times New Roman"/>
        </w:rPr>
        <w:t xml:space="preserve">, COA25-1201 (N.C. Ct. App. Sep. 2, 2026) (Arrowood) (Wake). Action by plaintiff homeowners against defendant builder and defendant lumber supplier alleging improper substitution of European lumber in place of stronger Southern Yellow Pine. Complaint alleged breach of contract or breach of express warranty, breach of implied warranty, unfair and deceptive trade practices (UDTPA), negligence, and negligent supervision. Plaintiffs had previously entered into a contract with </w:t>
      </w:r>
      <w:r w:rsidR="0022532C" w:rsidRPr="003F6B7E">
        <w:rPr>
          <w:rFonts w:ascii="Times New Roman" w:hAnsi="Times New Roman" w:cs="Times New Roman"/>
        </w:rPr>
        <w:t xml:space="preserve">defendant </w:t>
      </w:r>
      <w:r w:rsidRPr="003F6B7E">
        <w:rPr>
          <w:rFonts w:ascii="Times New Roman" w:hAnsi="Times New Roman" w:cs="Times New Roman"/>
        </w:rPr>
        <w:t>builder requiring arbitration of disputes. Defendant lumber supplier was not party to this contract. Plaintiffs voluntarily dismissed all claims against defendant builder as well as the contract and warranty claims against defendant lumber supplier, leaving only UDTPA and negligence claims against defendant lumber supplier pending. Defendant lumber supplier moved to compel arbitration, the trial court denied the motion, and defendant appealed.</w:t>
      </w:r>
    </w:p>
    <w:p w14:paraId="15A720CA" w14:textId="77777777" w:rsidR="00B60944" w:rsidRPr="003F6B7E" w:rsidRDefault="00B60944" w:rsidP="00B60944">
      <w:pPr>
        <w:rPr>
          <w:rFonts w:ascii="Times New Roman" w:hAnsi="Times New Roman" w:cs="Times New Roman"/>
        </w:rPr>
      </w:pPr>
    </w:p>
    <w:p w14:paraId="47A1AA04" w14:textId="0A713655" w:rsidR="00B60944" w:rsidRPr="003F6B7E" w:rsidRDefault="00B60944" w:rsidP="00B60944">
      <w:pPr>
        <w:rPr>
          <w:rFonts w:ascii="Times New Roman" w:hAnsi="Times New Roman" w:cs="Times New Roman"/>
        </w:rPr>
      </w:pPr>
      <w:r w:rsidRPr="003F6B7E">
        <w:rPr>
          <w:rFonts w:ascii="Times New Roman" w:hAnsi="Times New Roman" w:cs="Times New Roman"/>
        </w:rPr>
        <w:t xml:space="preserve">Defendant </w:t>
      </w:r>
      <w:r w:rsidR="00FF66ED" w:rsidRPr="003F6B7E">
        <w:rPr>
          <w:rFonts w:ascii="Times New Roman" w:hAnsi="Times New Roman" w:cs="Times New Roman"/>
        </w:rPr>
        <w:t xml:space="preserve">lumber supplier </w:t>
      </w:r>
      <w:r w:rsidRPr="003F6B7E">
        <w:rPr>
          <w:rFonts w:ascii="Times New Roman" w:hAnsi="Times New Roman" w:cs="Times New Roman"/>
        </w:rPr>
        <w:t>argued that plaintiffs should be equitably estopped from arguing that the arbitration clause does not apply. The NCCOA looked to Fourth Circuit precedent for guidance and examined the nature of the duties alleged to have been breached by defendant</w:t>
      </w:r>
      <w:r w:rsidR="00550869" w:rsidRPr="003F6B7E">
        <w:rPr>
          <w:rFonts w:ascii="Times New Roman" w:hAnsi="Times New Roman" w:cs="Times New Roman"/>
        </w:rPr>
        <w:t xml:space="preserve"> lumber supplier</w:t>
      </w:r>
      <w:r w:rsidRPr="003F6B7E">
        <w:rPr>
          <w:rFonts w:ascii="Times New Roman" w:hAnsi="Times New Roman" w:cs="Times New Roman"/>
        </w:rPr>
        <w:t xml:space="preserve">. “[W]hile plaintiffs’ contract with [builder] informs the factual foundation of plaintiffs’ claims against [defendant lumber supplier], the claims themselves do not rely on the </w:t>
      </w:r>
      <w:r w:rsidRPr="003F6B7E">
        <w:rPr>
          <w:rFonts w:ascii="Times New Roman" w:hAnsi="Times New Roman" w:cs="Times New Roman"/>
        </w:rPr>
        <w:lastRenderedPageBreak/>
        <w:t>contract terms. The core of plaintiffs’ claim is that [defendant lumber supplier] supplied a lumber which failed to meet the Code requirements, thereby violating a common law duty of reasonable care and violating the UDTPA by engaging in unfair or deceptive acts or practices.” Slip op. at 11. Even without the contract, plaintiffs could bring these claims. Defendant lumber supplier argued that plaintiffs’ unamended complaint contained references to the contract. The NCCOA did not find this dispositive</w:t>
      </w:r>
      <w:r w:rsidR="00550869" w:rsidRPr="003F6B7E">
        <w:rPr>
          <w:rFonts w:ascii="Times New Roman" w:hAnsi="Times New Roman" w:cs="Times New Roman"/>
        </w:rPr>
        <w:t>,</w:t>
      </w:r>
      <w:r w:rsidRPr="003F6B7E">
        <w:rPr>
          <w:rFonts w:ascii="Times New Roman" w:hAnsi="Times New Roman" w:cs="Times New Roman"/>
        </w:rPr>
        <w:t xml:space="preserve"> considering that the duties </w:t>
      </w:r>
      <w:r w:rsidR="00ED790B" w:rsidRPr="003F6B7E">
        <w:rPr>
          <w:rFonts w:ascii="Times New Roman" w:hAnsi="Times New Roman" w:cs="Times New Roman"/>
        </w:rPr>
        <w:t xml:space="preserve">arose from a different basis than </w:t>
      </w:r>
      <w:r w:rsidR="00936A2A" w:rsidRPr="003F6B7E">
        <w:rPr>
          <w:rFonts w:ascii="Times New Roman" w:hAnsi="Times New Roman" w:cs="Times New Roman"/>
        </w:rPr>
        <w:t>duties based on the contract</w:t>
      </w:r>
      <w:r w:rsidRPr="003F6B7E">
        <w:rPr>
          <w:rFonts w:ascii="Times New Roman" w:hAnsi="Times New Roman" w:cs="Times New Roman"/>
        </w:rPr>
        <w:t xml:space="preserve">. The violation of a statutory duty or a duty in tort could also be the violation of a contractual duty, but this does not mean that a statutory or tort violation relies on a breach of contract. The NCCOA further </w:t>
      </w:r>
      <w:r w:rsidR="00781E18" w:rsidRPr="003F6B7E">
        <w:rPr>
          <w:rFonts w:ascii="Times New Roman" w:hAnsi="Times New Roman" w:cs="Times New Roman"/>
        </w:rPr>
        <w:t xml:space="preserve">held </w:t>
      </w:r>
      <w:r w:rsidRPr="003F6B7E">
        <w:rPr>
          <w:rFonts w:ascii="Times New Roman" w:hAnsi="Times New Roman" w:cs="Times New Roman"/>
        </w:rPr>
        <w:t>the claims alleged against defendant builder and defendant lumber supplier to be different claims based on distinct acts—the installation of lumber and the supply of lumber, respectively.</w:t>
      </w:r>
    </w:p>
    <w:p w14:paraId="38DF70AA" w14:textId="77777777" w:rsidR="00CF1839" w:rsidRPr="003F6B7E" w:rsidRDefault="00CF1839" w:rsidP="00B60944">
      <w:pPr>
        <w:rPr>
          <w:rFonts w:ascii="Times New Roman" w:hAnsi="Times New Roman" w:cs="Times New Roman"/>
        </w:rPr>
      </w:pPr>
    </w:p>
    <w:p w14:paraId="74F541CD" w14:textId="77777777" w:rsidR="00CF1839" w:rsidRPr="003F6B7E" w:rsidRDefault="00CF1839" w:rsidP="00CF1839">
      <w:pPr>
        <w:pStyle w:val="Heading2"/>
        <w:rPr>
          <w:rFonts w:ascii="Times New Roman" w:hAnsi="Times New Roman" w:cs="Times New Roman"/>
        </w:rPr>
      </w:pPr>
      <w:bookmarkStart w:id="2" w:name="_Toc242276209"/>
      <w:r w:rsidRPr="003F6B7E">
        <w:rPr>
          <w:rFonts w:ascii="Times New Roman" w:hAnsi="Times New Roman" w:cs="Times New Roman"/>
        </w:rPr>
        <w:t>Attachment</w:t>
      </w:r>
      <w:bookmarkEnd w:id="2"/>
    </w:p>
    <w:p w14:paraId="7FEA5BAA" w14:textId="77777777" w:rsidR="00CF1839" w:rsidRPr="003F6B7E" w:rsidRDefault="00CF1839" w:rsidP="00CF1839">
      <w:pPr>
        <w:spacing w:line="240" w:lineRule="auto"/>
        <w:rPr>
          <w:rFonts w:ascii="Times New Roman" w:hAnsi="Times New Roman" w:cs="Times New Roman"/>
          <w:b/>
          <w:bCs/>
        </w:rPr>
      </w:pPr>
      <w:r w:rsidRPr="003F6B7E">
        <w:rPr>
          <w:rFonts w:ascii="Times New Roman" w:hAnsi="Times New Roman" w:cs="Times New Roman"/>
          <w:b/>
          <w:bCs/>
        </w:rPr>
        <w:t>Order attaching property to secure potential judgment does not create a substantial right on its own.</w:t>
      </w:r>
    </w:p>
    <w:p w14:paraId="5CCB953F" w14:textId="77777777" w:rsidR="00CF1839" w:rsidRPr="003F6B7E" w:rsidRDefault="00CF1839" w:rsidP="00CF1839">
      <w:pPr>
        <w:spacing w:line="240" w:lineRule="auto"/>
        <w:rPr>
          <w:rFonts w:ascii="Times New Roman" w:hAnsi="Times New Roman" w:cs="Times New Roman"/>
          <w:b/>
          <w:bCs/>
        </w:rPr>
      </w:pPr>
    </w:p>
    <w:p w14:paraId="2D865345" w14:textId="77777777" w:rsidR="00175989" w:rsidRPr="003F6B7E" w:rsidRDefault="00CF1839" w:rsidP="00CF1839">
      <w:pPr>
        <w:rPr>
          <w:rFonts w:ascii="Times New Roman" w:hAnsi="Times New Roman" w:cs="Times New Roman"/>
        </w:rPr>
      </w:pPr>
      <w:hyperlink r:id="rId10" w:history="1">
        <w:r w:rsidRPr="003F6B7E">
          <w:rPr>
            <w:rStyle w:val="Hyperlink"/>
            <w:rFonts w:ascii="Times New Roman" w:hAnsi="Times New Roman" w:cs="Times New Roman"/>
          </w:rPr>
          <w:t>Alston v. Millennia Hous. Dev., Ltd.</w:t>
        </w:r>
      </w:hyperlink>
      <w:r w:rsidRPr="003F6B7E">
        <w:rPr>
          <w:rFonts w:ascii="Times New Roman" w:hAnsi="Times New Roman" w:cs="Times New Roman"/>
        </w:rPr>
        <w:t>, COA25-1135 (N.C. Ct. App. Sep. 16, 2026) (</w:t>
      </w:r>
      <w:r w:rsidR="00250B68" w:rsidRPr="003F6B7E">
        <w:rPr>
          <w:rFonts w:ascii="Times New Roman" w:hAnsi="Times New Roman" w:cs="Times New Roman"/>
        </w:rPr>
        <w:t>Collins</w:t>
      </w:r>
      <w:r w:rsidRPr="003F6B7E">
        <w:rPr>
          <w:rFonts w:ascii="Times New Roman" w:hAnsi="Times New Roman" w:cs="Times New Roman"/>
        </w:rPr>
        <w:t>) (</w:t>
      </w:r>
      <w:r w:rsidR="00250B68" w:rsidRPr="003F6B7E">
        <w:rPr>
          <w:rFonts w:ascii="Times New Roman" w:hAnsi="Times New Roman" w:cs="Times New Roman"/>
        </w:rPr>
        <w:t>Durham</w:t>
      </w:r>
      <w:r w:rsidRPr="003F6B7E">
        <w:rPr>
          <w:rFonts w:ascii="Times New Roman" w:hAnsi="Times New Roman" w:cs="Times New Roman"/>
        </w:rPr>
        <w:t>). Action for breach of warranty of habitability and breach of contract by plaintiff tenants against defendants real estate enterprise. The trial court entered an order of attachment requiring defendants to keep more than $9.5 million of their property within the county</w:t>
      </w:r>
      <w:r w:rsidR="00DB3018" w:rsidRPr="003F6B7E">
        <w:rPr>
          <w:rFonts w:ascii="Times New Roman" w:hAnsi="Times New Roman" w:cs="Times New Roman"/>
        </w:rPr>
        <w:t xml:space="preserve"> in which the action was pending</w:t>
      </w:r>
      <w:r w:rsidRPr="003F6B7E">
        <w:rPr>
          <w:rFonts w:ascii="Times New Roman" w:hAnsi="Times New Roman" w:cs="Times New Roman"/>
        </w:rPr>
        <w:t xml:space="preserve"> until final judgment. Defendants moved for dissolution or modification of the attachment order. </w:t>
      </w:r>
      <w:r w:rsidR="00175989" w:rsidRPr="003F6B7E">
        <w:rPr>
          <w:rFonts w:ascii="Times New Roman" w:hAnsi="Times New Roman" w:cs="Times New Roman"/>
        </w:rPr>
        <w:t>The t</w:t>
      </w:r>
      <w:r w:rsidRPr="003F6B7E">
        <w:rPr>
          <w:rFonts w:ascii="Times New Roman" w:hAnsi="Times New Roman" w:cs="Times New Roman"/>
        </w:rPr>
        <w:t xml:space="preserve">rial court denied the motion. Defendants appealed. </w:t>
      </w:r>
    </w:p>
    <w:p w14:paraId="3A9146EC" w14:textId="77777777" w:rsidR="00175989" w:rsidRPr="003F6B7E" w:rsidRDefault="00175989" w:rsidP="00CF1839">
      <w:pPr>
        <w:rPr>
          <w:rFonts w:ascii="Times New Roman" w:hAnsi="Times New Roman" w:cs="Times New Roman"/>
        </w:rPr>
      </w:pPr>
    </w:p>
    <w:p w14:paraId="559DF1D4" w14:textId="37778264" w:rsidR="00087C22" w:rsidRDefault="00CF1839" w:rsidP="00087C22">
      <w:pPr>
        <w:rPr>
          <w:rFonts w:ascii="Times New Roman" w:hAnsi="Times New Roman" w:cs="Times New Roman"/>
        </w:rPr>
      </w:pPr>
      <w:r w:rsidRPr="003F6B7E">
        <w:rPr>
          <w:rFonts w:ascii="Times New Roman" w:hAnsi="Times New Roman" w:cs="Times New Roman"/>
        </w:rPr>
        <w:lastRenderedPageBreak/>
        <w:t>The NCCOA reasoned that the record does not show restraint on one asset prevents defendants from operating their business as a whole</w:t>
      </w:r>
      <w:r w:rsidR="00175989" w:rsidRPr="003F6B7E">
        <w:rPr>
          <w:rFonts w:ascii="Times New Roman" w:hAnsi="Times New Roman" w:cs="Times New Roman"/>
        </w:rPr>
        <w:t xml:space="preserve"> and</w:t>
      </w:r>
      <w:r w:rsidRPr="003F6B7E">
        <w:rPr>
          <w:rFonts w:ascii="Times New Roman" w:hAnsi="Times New Roman" w:cs="Times New Roman"/>
        </w:rPr>
        <w:t xml:space="preserve"> defendants are not suffering deprivation of a substantial right. The NCCOA dismissed the appeal.</w:t>
      </w:r>
    </w:p>
    <w:p w14:paraId="5D4FC172" w14:textId="77777777" w:rsidR="008B7D9A" w:rsidRPr="003F6B7E" w:rsidRDefault="008B7D9A" w:rsidP="00087C22">
      <w:pPr>
        <w:rPr>
          <w:rFonts w:ascii="Times New Roman" w:hAnsi="Times New Roman" w:cs="Times New Roman"/>
        </w:rPr>
      </w:pPr>
    </w:p>
    <w:p w14:paraId="545C18DD" w14:textId="41A4F005" w:rsidR="00161CDD" w:rsidRPr="003F6B7E" w:rsidRDefault="00161CDD" w:rsidP="00161CDD">
      <w:pPr>
        <w:pStyle w:val="Heading2"/>
        <w:rPr>
          <w:rFonts w:ascii="Times New Roman" w:hAnsi="Times New Roman" w:cs="Times New Roman"/>
        </w:rPr>
      </w:pPr>
      <w:bookmarkStart w:id="3" w:name="_Toc242276210"/>
      <w:r w:rsidRPr="003F6B7E">
        <w:rPr>
          <w:rFonts w:ascii="Times New Roman" w:hAnsi="Times New Roman" w:cs="Times New Roman"/>
        </w:rPr>
        <w:t>Charging Order</w:t>
      </w:r>
      <w:r w:rsidR="00517081" w:rsidRPr="003F6B7E">
        <w:rPr>
          <w:rFonts w:ascii="Times New Roman" w:hAnsi="Times New Roman" w:cs="Times New Roman"/>
        </w:rPr>
        <w:t>s</w:t>
      </w:r>
      <w:bookmarkEnd w:id="3"/>
    </w:p>
    <w:p w14:paraId="7AAA02D7" w14:textId="77777777" w:rsidR="00317AFC" w:rsidRPr="003F6B7E" w:rsidRDefault="00FC7DF0" w:rsidP="0048449A">
      <w:pPr>
        <w:spacing w:line="240" w:lineRule="auto"/>
        <w:rPr>
          <w:rFonts w:ascii="Times New Roman" w:hAnsi="Times New Roman" w:cs="Times New Roman"/>
          <w:b/>
          <w:bCs/>
        </w:rPr>
      </w:pPr>
      <w:r w:rsidRPr="003F6B7E">
        <w:rPr>
          <w:rFonts w:ascii="Times New Roman" w:hAnsi="Times New Roman" w:cs="Times New Roman"/>
          <w:b/>
          <w:bCs/>
        </w:rPr>
        <w:t xml:space="preserve">When </w:t>
      </w:r>
      <w:r w:rsidR="005002B3" w:rsidRPr="003F6B7E">
        <w:rPr>
          <w:rFonts w:ascii="Times New Roman" w:hAnsi="Times New Roman" w:cs="Times New Roman"/>
          <w:b/>
          <w:bCs/>
        </w:rPr>
        <w:t xml:space="preserve">an entity is not listed as a defendant in the complaint, </w:t>
      </w:r>
      <w:r w:rsidRPr="003F6B7E">
        <w:rPr>
          <w:rFonts w:ascii="Times New Roman" w:hAnsi="Times New Roman" w:cs="Times New Roman"/>
          <w:b/>
          <w:bCs/>
        </w:rPr>
        <w:t xml:space="preserve">no summons is issued for </w:t>
      </w:r>
      <w:r w:rsidR="005002B3" w:rsidRPr="003F6B7E">
        <w:rPr>
          <w:rFonts w:ascii="Times New Roman" w:hAnsi="Times New Roman" w:cs="Times New Roman"/>
          <w:b/>
          <w:bCs/>
        </w:rPr>
        <w:t>that entity</w:t>
      </w:r>
      <w:r w:rsidRPr="003F6B7E">
        <w:rPr>
          <w:rFonts w:ascii="Times New Roman" w:hAnsi="Times New Roman" w:cs="Times New Roman"/>
          <w:b/>
          <w:bCs/>
        </w:rPr>
        <w:t xml:space="preserve">, nothing in the record shows the </w:t>
      </w:r>
      <w:r w:rsidR="005002B3" w:rsidRPr="003F6B7E">
        <w:rPr>
          <w:rFonts w:ascii="Times New Roman" w:hAnsi="Times New Roman" w:cs="Times New Roman"/>
          <w:b/>
          <w:bCs/>
        </w:rPr>
        <w:t xml:space="preserve">entity </w:t>
      </w:r>
      <w:r w:rsidRPr="003F6B7E">
        <w:rPr>
          <w:rFonts w:ascii="Times New Roman" w:hAnsi="Times New Roman" w:cs="Times New Roman"/>
          <w:b/>
          <w:bCs/>
        </w:rPr>
        <w:t xml:space="preserve">was joined as a party, </w:t>
      </w:r>
      <w:r w:rsidR="00A773F4" w:rsidRPr="003F6B7E">
        <w:rPr>
          <w:rFonts w:ascii="Times New Roman" w:hAnsi="Times New Roman" w:cs="Times New Roman"/>
          <w:b/>
          <w:bCs/>
        </w:rPr>
        <w:t xml:space="preserve">the </w:t>
      </w:r>
      <w:r w:rsidR="005002B3" w:rsidRPr="003F6B7E">
        <w:rPr>
          <w:rFonts w:ascii="Times New Roman" w:hAnsi="Times New Roman" w:cs="Times New Roman"/>
          <w:b/>
          <w:bCs/>
        </w:rPr>
        <w:t xml:space="preserve">entity </w:t>
      </w:r>
      <w:r w:rsidR="00A773F4" w:rsidRPr="003F6B7E">
        <w:rPr>
          <w:rFonts w:ascii="Times New Roman" w:hAnsi="Times New Roman" w:cs="Times New Roman"/>
          <w:b/>
          <w:bCs/>
        </w:rPr>
        <w:t xml:space="preserve">does not appear at any hearing, and counsel for the defendants does not enter an appearance on behalf of the </w:t>
      </w:r>
      <w:r w:rsidR="005002B3" w:rsidRPr="003F6B7E">
        <w:rPr>
          <w:rFonts w:ascii="Times New Roman" w:hAnsi="Times New Roman" w:cs="Times New Roman"/>
          <w:b/>
          <w:bCs/>
        </w:rPr>
        <w:t xml:space="preserve">entity, the entity is a non-party as is not entitled to file a notice of appeal. </w:t>
      </w:r>
      <w:r w:rsidR="005D3F09" w:rsidRPr="003F6B7E">
        <w:rPr>
          <w:rFonts w:ascii="Times New Roman" w:hAnsi="Times New Roman" w:cs="Times New Roman"/>
          <w:b/>
          <w:bCs/>
        </w:rPr>
        <w:t>A defendant cannot object to the court’s lack of personal jurisdiction over</w:t>
      </w:r>
      <w:r w:rsidR="00AD6C9E" w:rsidRPr="003F6B7E">
        <w:rPr>
          <w:rFonts w:ascii="Times New Roman" w:hAnsi="Times New Roman" w:cs="Times New Roman"/>
          <w:b/>
          <w:bCs/>
        </w:rPr>
        <w:t xml:space="preserve"> another, including over</w:t>
      </w:r>
      <w:r w:rsidR="005D3F09" w:rsidRPr="003F6B7E">
        <w:rPr>
          <w:rFonts w:ascii="Times New Roman" w:hAnsi="Times New Roman" w:cs="Times New Roman"/>
          <w:b/>
          <w:bCs/>
        </w:rPr>
        <w:t xml:space="preserve"> a non-party.</w:t>
      </w:r>
      <w:r w:rsidR="00AD6C9E" w:rsidRPr="003F6B7E">
        <w:rPr>
          <w:rFonts w:ascii="Times New Roman" w:hAnsi="Times New Roman" w:cs="Times New Roman"/>
          <w:b/>
          <w:bCs/>
        </w:rPr>
        <w:t xml:space="preserve"> </w:t>
      </w:r>
    </w:p>
    <w:p w14:paraId="01C8B2A8" w14:textId="77777777" w:rsidR="00317AFC" w:rsidRPr="003F6B7E" w:rsidRDefault="00317AFC" w:rsidP="0048449A">
      <w:pPr>
        <w:spacing w:line="240" w:lineRule="auto"/>
        <w:rPr>
          <w:rFonts w:ascii="Times New Roman" w:hAnsi="Times New Roman" w:cs="Times New Roman"/>
          <w:b/>
          <w:bCs/>
        </w:rPr>
      </w:pPr>
    </w:p>
    <w:p w14:paraId="1B069523" w14:textId="0D4B28AA" w:rsidR="00FC2AD2" w:rsidRPr="003F6B7E" w:rsidRDefault="00AD6C9E" w:rsidP="0048449A">
      <w:pPr>
        <w:spacing w:line="240" w:lineRule="auto"/>
        <w:rPr>
          <w:rFonts w:ascii="Times New Roman" w:hAnsi="Times New Roman" w:cs="Times New Roman"/>
          <w:b/>
          <w:bCs/>
        </w:rPr>
      </w:pPr>
      <w:r w:rsidRPr="003F6B7E">
        <w:rPr>
          <w:rFonts w:ascii="Times New Roman" w:hAnsi="Times New Roman" w:cs="Times New Roman"/>
          <w:b/>
          <w:bCs/>
        </w:rPr>
        <w:t xml:space="preserve">A </w:t>
      </w:r>
      <w:r w:rsidR="007E23F6" w:rsidRPr="003F6B7E">
        <w:rPr>
          <w:rFonts w:ascii="Times New Roman" w:hAnsi="Times New Roman" w:cs="Times New Roman"/>
          <w:b/>
          <w:bCs/>
        </w:rPr>
        <w:t>judgment debtor’s salary paid by an LLC is not a distribution</w:t>
      </w:r>
      <w:r w:rsidR="00790B89" w:rsidRPr="003F6B7E">
        <w:rPr>
          <w:rFonts w:ascii="Times New Roman" w:hAnsi="Times New Roman" w:cs="Times New Roman"/>
          <w:b/>
          <w:bCs/>
        </w:rPr>
        <w:t xml:space="preserve"> from that LLC</w:t>
      </w:r>
      <w:r w:rsidR="007E23F6" w:rsidRPr="003F6B7E">
        <w:rPr>
          <w:rFonts w:ascii="Times New Roman" w:hAnsi="Times New Roman" w:cs="Times New Roman"/>
          <w:b/>
          <w:bCs/>
        </w:rPr>
        <w:t xml:space="preserve"> under </w:t>
      </w:r>
      <w:r w:rsidR="00790B89" w:rsidRPr="003F6B7E">
        <w:rPr>
          <w:rFonts w:ascii="Times New Roman" w:hAnsi="Times New Roman" w:cs="Times New Roman"/>
          <w:b/>
          <w:bCs/>
        </w:rPr>
        <w:t xml:space="preserve">a </w:t>
      </w:r>
      <w:r w:rsidR="007E23F6" w:rsidRPr="003F6B7E">
        <w:rPr>
          <w:rFonts w:ascii="Times New Roman" w:hAnsi="Times New Roman" w:cs="Times New Roman"/>
          <w:b/>
          <w:bCs/>
        </w:rPr>
        <w:t xml:space="preserve">G.S. 57D-5-03 </w:t>
      </w:r>
      <w:r w:rsidRPr="003F6B7E">
        <w:rPr>
          <w:rFonts w:ascii="Times New Roman" w:hAnsi="Times New Roman" w:cs="Times New Roman"/>
          <w:b/>
          <w:bCs/>
        </w:rPr>
        <w:t>charging order</w:t>
      </w:r>
      <w:r w:rsidR="007E23F6" w:rsidRPr="003F6B7E">
        <w:rPr>
          <w:rFonts w:ascii="Times New Roman" w:hAnsi="Times New Roman" w:cs="Times New Roman"/>
          <w:b/>
          <w:bCs/>
        </w:rPr>
        <w:t>.</w:t>
      </w:r>
      <w:r w:rsidRPr="003F6B7E">
        <w:rPr>
          <w:rFonts w:ascii="Times New Roman" w:hAnsi="Times New Roman" w:cs="Times New Roman"/>
          <w:b/>
          <w:bCs/>
        </w:rPr>
        <w:t xml:space="preserve"> </w:t>
      </w:r>
      <w:r w:rsidR="001E79F2" w:rsidRPr="003F6B7E">
        <w:rPr>
          <w:rFonts w:ascii="Times New Roman" w:hAnsi="Times New Roman" w:cs="Times New Roman"/>
          <w:b/>
          <w:bCs/>
        </w:rPr>
        <w:t>No error when the trial court entered an</w:t>
      </w:r>
      <w:r w:rsidR="00094EEB" w:rsidRPr="003F6B7E">
        <w:rPr>
          <w:rFonts w:ascii="Times New Roman" w:hAnsi="Times New Roman" w:cs="Times New Roman"/>
          <w:b/>
          <w:bCs/>
        </w:rPr>
        <w:t xml:space="preserve"> injunction </w:t>
      </w:r>
      <w:r w:rsidR="005974F4" w:rsidRPr="003F6B7E">
        <w:rPr>
          <w:rFonts w:ascii="Times New Roman" w:hAnsi="Times New Roman" w:cs="Times New Roman"/>
          <w:b/>
          <w:bCs/>
        </w:rPr>
        <w:t>regarding disclosure and transfer of assets</w:t>
      </w:r>
      <w:r w:rsidR="001E79F2" w:rsidRPr="003F6B7E">
        <w:rPr>
          <w:rFonts w:ascii="Times New Roman" w:hAnsi="Times New Roman" w:cs="Times New Roman"/>
          <w:b/>
          <w:bCs/>
        </w:rPr>
        <w:t xml:space="preserve"> but did not define the term</w:t>
      </w:r>
      <w:r w:rsidR="004D12C4" w:rsidRPr="003F6B7E">
        <w:rPr>
          <w:rFonts w:ascii="Times New Roman" w:hAnsi="Times New Roman" w:cs="Times New Roman"/>
          <w:b/>
          <w:bCs/>
        </w:rPr>
        <w:t xml:space="preserve"> “assets,” when the party enjoined showed no difficulty in understanding the term’s meaning.</w:t>
      </w:r>
    </w:p>
    <w:p w14:paraId="4AE632DD" w14:textId="77777777" w:rsidR="0048449A" w:rsidRPr="003F6B7E" w:rsidRDefault="0048449A" w:rsidP="0048449A">
      <w:pPr>
        <w:spacing w:line="240" w:lineRule="auto"/>
        <w:rPr>
          <w:rFonts w:ascii="Times New Roman" w:hAnsi="Times New Roman" w:cs="Times New Roman"/>
          <w:b/>
          <w:bCs/>
        </w:rPr>
      </w:pPr>
    </w:p>
    <w:p w14:paraId="2DBC016B" w14:textId="2241EE56" w:rsidR="000A558C" w:rsidRPr="003F6B7E" w:rsidRDefault="00306C04" w:rsidP="00306C04">
      <w:pPr>
        <w:rPr>
          <w:rFonts w:ascii="Times New Roman" w:hAnsi="Times New Roman" w:cs="Times New Roman"/>
        </w:rPr>
      </w:pPr>
      <w:hyperlink r:id="rId11" w:history="1">
        <w:r w:rsidRPr="003F6B7E">
          <w:rPr>
            <w:rStyle w:val="Hyperlink"/>
            <w:rFonts w:ascii="Times New Roman" w:hAnsi="Times New Roman" w:cs="Times New Roman"/>
          </w:rPr>
          <w:t>Joint Entities LLC v Sharon Co</w:t>
        </w:r>
        <w:r w:rsidR="00245739">
          <w:rPr>
            <w:rStyle w:val="Hyperlink"/>
            <w:rFonts w:ascii="Times New Roman" w:hAnsi="Times New Roman" w:cs="Times New Roman"/>
          </w:rPr>
          <w:t>b</w:t>
        </w:r>
        <w:r w:rsidRPr="003F6B7E">
          <w:rPr>
            <w:rStyle w:val="Hyperlink"/>
            <w:rFonts w:ascii="Times New Roman" w:hAnsi="Times New Roman" w:cs="Times New Roman"/>
          </w:rPr>
          <w:t>ham</w:t>
        </w:r>
        <w:r w:rsidR="002E0291" w:rsidRPr="003F6B7E">
          <w:rPr>
            <w:rStyle w:val="Hyperlink"/>
            <w:rFonts w:ascii="Times New Roman" w:hAnsi="Times New Roman" w:cs="Times New Roman"/>
          </w:rPr>
          <w:t>,</w:t>
        </w:r>
        <w:r w:rsidRPr="003F6B7E">
          <w:rPr>
            <w:rStyle w:val="Hyperlink"/>
            <w:rFonts w:ascii="Times New Roman" w:hAnsi="Times New Roman" w:cs="Times New Roman"/>
          </w:rPr>
          <w:t xml:space="preserve"> D</w:t>
        </w:r>
        <w:r w:rsidR="002E0291" w:rsidRPr="003F6B7E">
          <w:rPr>
            <w:rStyle w:val="Hyperlink"/>
            <w:rFonts w:ascii="Times New Roman" w:hAnsi="Times New Roman" w:cs="Times New Roman"/>
          </w:rPr>
          <w:t>.</w:t>
        </w:r>
        <w:r w:rsidRPr="003F6B7E">
          <w:rPr>
            <w:rStyle w:val="Hyperlink"/>
            <w:rFonts w:ascii="Times New Roman" w:hAnsi="Times New Roman" w:cs="Times New Roman"/>
          </w:rPr>
          <w:t>D</w:t>
        </w:r>
        <w:r w:rsidR="002E0291" w:rsidRPr="003F6B7E">
          <w:rPr>
            <w:rStyle w:val="Hyperlink"/>
            <w:rFonts w:ascii="Times New Roman" w:hAnsi="Times New Roman" w:cs="Times New Roman"/>
          </w:rPr>
          <w:t>.</w:t>
        </w:r>
        <w:r w:rsidRPr="003F6B7E">
          <w:rPr>
            <w:rStyle w:val="Hyperlink"/>
            <w:rFonts w:ascii="Times New Roman" w:hAnsi="Times New Roman" w:cs="Times New Roman"/>
          </w:rPr>
          <w:t>S</w:t>
        </w:r>
        <w:r w:rsidR="002E0291" w:rsidRPr="003F6B7E">
          <w:rPr>
            <w:rStyle w:val="Hyperlink"/>
            <w:rFonts w:ascii="Times New Roman" w:hAnsi="Times New Roman" w:cs="Times New Roman"/>
          </w:rPr>
          <w:t>.</w:t>
        </w:r>
      </w:hyperlink>
      <w:r w:rsidR="002E0291" w:rsidRPr="003F6B7E">
        <w:rPr>
          <w:rFonts w:ascii="Times New Roman" w:hAnsi="Times New Roman" w:cs="Times New Roman"/>
        </w:rPr>
        <w:t>, COA25-858 (N.C. Ct. App. Aug. 5, 2026)</w:t>
      </w:r>
      <w:r w:rsidR="00287488" w:rsidRPr="003F6B7E">
        <w:rPr>
          <w:rFonts w:ascii="Times New Roman" w:hAnsi="Times New Roman" w:cs="Times New Roman"/>
        </w:rPr>
        <w:t xml:space="preserve"> </w:t>
      </w:r>
      <w:r w:rsidR="00492AC6" w:rsidRPr="003F6B7E">
        <w:rPr>
          <w:rFonts w:ascii="Times New Roman" w:hAnsi="Times New Roman" w:cs="Times New Roman"/>
        </w:rPr>
        <w:t xml:space="preserve">(Griffin) </w:t>
      </w:r>
      <w:r w:rsidR="002E0291" w:rsidRPr="003F6B7E">
        <w:rPr>
          <w:rFonts w:ascii="Times New Roman" w:hAnsi="Times New Roman" w:cs="Times New Roman"/>
        </w:rPr>
        <w:t>(</w:t>
      </w:r>
      <w:r w:rsidR="00287488" w:rsidRPr="003F6B7E">
        <w:rPr>
          <w:rFonts w:ascii="Times New Roman" w:hAnsi="Times New Roman" w:cs="Times New Roman"/>
        </w:rPr>
        <w:t>Wake</w:t>
      </w:r>
      <w:r w:rsidR="002E0291" w:rsidRPr="003F6B7E">
        <w:rPr>
          <w:rFonts w:ascii="Times New Roman" w:hAnsi="Times New Roman" w:cs="Times New Roman"/>
        </w:rPr>
        <w:t>).</w:t>
      </w:r>
      <w:r w:rsidR="00166EDA" w:rsidRPr="003F6B7E">
        <w:rPr>
          <w:rFonts w:ascii="Times New Roman" w:hAnsi="Times New Roman" w:cs="Times New Roman"/>
        </w:rPr>
        <w:t xml:space="preserve"> Action on a judgment. </w:t>
      </w:r>
      <w:r w:rsidR="000B03EF" w:rsidRPr="003F6B7E">
        <w:rPr>
          <w:rFonts w:ascii="Times New Roman" w:hAnsi="Times New Roman" w:cs="Times New Roman"/>
        </w:rPr>
        <w:t xml:space="preserve">The complaint </w:t>
      </w:r>
      <w:r w:rsidR="0073349A" w:rsidRPr="003F6B7E">
        <w:rPr>
          <w:rFonts w:ascii="Times New Roman" w:hAnsi="Times New Roman" w:cs="Times New Roman"/>
        </w:rPr>
        <w:t xml:space="preserve">listed one individual as the defendant, and that individual filed no responsive pleading. On motion of the plaintiff, the trial court entered a default judgment </w:t>
      </w:r>
      <w:r w:rsidR="0037271D" w:rsidRPr="003F6B7E">
        <w:rPr>
          <w:rFonts w:ascii="Times New Roman" w:hAnsi="Times New Roman" w:cs="Times New Roman"/>
        </w:rPr>
        <w:t xml:space="preserve">against the individual defendant and against her </w:t>
      </w:r>
      <w:r w:rsidR="007A0675" w:rsidRPr="003F6B7E">
        <w:rPr>
          <w:rFonts w:ascii="Times New Roman" w:hAnsi="Times New Roman" w:cs="Times New Roman"/>
        </w:rPr>
        <w:t xml:space="preserve">first </w:t>
      </w:r>
      <w:r w:rsidR="0037271D" w:rsidRPr="003F6B7E">
        <w:rPr>
          <w:rFonts w:ascii="Times New Roman" w:hAnsi="Times New Roman" w:cs="Times New Roman"/>
        </w:rPr>
        <w:t xml:space="preserve">business entity as joint defendants. A writ of execution was issued and returned unserved. Plaintiffs moved </w:t>
      </w:r>
      <w:r w:rsidR="00DA2EC7" w:rsidRPr="003F6B7E">
        <w:rPr>
          <w:rFonts w:ascii="Times New Roman" w:hAnsi="Times New Roman" w:cs="Times New Roman"/>
        </w:rPr>
        <w:t xml:space="preserve">for an order in aid of execution listing both the individual and the </w:t>
      </w:r>
      <w:r w:rsidR="007A0675" w:rsidRPr="003F6B7E">
        <w:rPr>
          <w:rFonts w:ascii="Times New Roman" w:hAnsi="Times New Roman" w:cs="Times New Roman"/>
        </w:rPr>
        <w:t xml:space="preserve">first </w:t>
      </w:r>
      <w:r w:rsidR="00DA2EC7" w:rsidRPr="003F6B7E">
        <w:rPr>
          <w:rFonts w:ascii="Times New Roman" w:hAnsi="Times New Roman" w:cs="Times New Roman"/>
        </w:rPr>
        <w:t xml:space="preserve">business entity as joint defendants. </w:t>
      </w:r>
      <w:r w:rsidR="001F551C" w:rsidRPr="003F6B7E">
        <w:rPr>
          <w:rFonts w:ascii="Times New Roman" w:hAnsi="Times New Roman" w:cs="Times New Roman"/>
        </w:rPr>
        <w:t xml:space="preserve">The motion included an exhibit showing that a second business entity of the individual defendant </w:t>
      </w:r>
      <w:r w:rsidR="007A0675" w:rsidRPr="003F6B7E">
        <w:rPr>
          <w:rFonts w:ascii="Times New Roman" w:hAnsi="Times New Roman" w:cs="Times New Roman"/>
        </w:rPr>
        <w:t>had renamed itself. Counsel for the individual defendant entered an appearance on behalf of the individual defendant and the first business entity.</w:t>
      </w:r>
      <w:r w:rsidR="00805426" w:rsidRPr="003F6B7E">
        <w:rPr>
          <w:rFonts w:ascii="Times New Roman" w:hAnsi="Times New Roman" w:cs="Times New Roman"/>
        </w:rPr>
        <w:t xml:space="preserve"> The trial court granted plaintiff’s order in aid of execution and ordered the first </w:t>
      </w:r>
      <w:r w:rsidR="00043225" w:rsidRPr="003F6B7E">
        <w:rPr>
          <w:rFonts w:ascii="Times New Roman" w:hAnsi="Times New Roman" w:cs="Times New Roman"/>
        </w:rPr>
        <w:t xml:space="preserve">and second </w:t>
      </w:r>
      <w:r w:rsidR="00805426" w:rsidRPr="003F6B7E">
        <w:rPr>
          <w:rFonts w:ascii="Times New Roman" w:hAnsi="Times New Roman" w:cs="Times New Roman"/>
        </w:rPr>
        <w:t>business enti</w:t>
      </w:r>
      <w:r w:rsidR="00DC3E36" w:rsidRPr="003F6B7E">
        <w:rPr>
          <w:rFonts w:ascii="Times New Roman" w:hAnsi="Times New Roman" w:cs="Times New Roman"/>
        </w:rPr>
        <w:t>t</w:t>
      </w:r>
      <w:r w:rsidR="00043225" w:rsidRPr="003F6B7E">
        <w:rPr>
          <w:rFonts w:ascii="Times New Roman" w:hAnsi="Times New Roman" w:cs="Times New Roman"/>
        </w:rPr>
        <w:t>ies</w:t>
      </w:r>
      <w:r w:rsidR="00DC3E36" w:rsidRPr="003F6B7E">
        <w:rPr>
          <w:rFonts w:ascii="Times New Roman" w:hAnsi="Times New Roman" w:cs="Times New Roman"/>
        </w:rPr>
        <w:t xml:space="preserve"> to make payments to plaintiffs</w:t>
      </w:r>
      <w:r w:rsidR="007126F0" w:rsidRPr="003F6B7E">
        <w:rPr>
          <w:rFonts w:ascii="Times New Roman" w:hAnsi="Times New Roman" w:cs="Times New Roman"/>
        </w:rPr>
        <w:t xml:space="preserve"> to satisfy the judgment debt</w:t>
      </w:r>
      <w:r w:rsidR="00A80E3A" w:rsidRPr="003F6B7E">
        <w:rPr>
          <w:rFonts w:ascii="Times New Roman" w:hAnsi="Times New Roman" w:cs="Times New Roman"/>
        </w:rPr>
        <w:t xml:space="preserve">, restricted the individual defendant’s personal spending, and ordered her to provide a list of her assets to plaintiffs. The order prevented the first and second business </w:t>
      </w:r>
      <w:r w:rsidR="00A80E3A" w:rsidRPr="003F6B7E">
        <w:rPr>
          <w:rFonts w:ascii="Times New Roman" w:hAnsi="Times New Roman" w:cs="Times New Roman"/>
        </w:rPr>
        <w:lastRenderedPageBreak/>
        <w:t>entities from transferring or encumbering the individual defendant’s assets. The individual defendant and the second business entity filed notice of appeal.</w:t>
      </w:r>
    </w:p>
    <w:p w14:paraId="2FDD0533" w14:textId="77777777" w:rsidR="000A558C" w:rsidRPr="003F6B7E" w:rsidRDefault="000A558C" w:rsidP="00306C04">
      <w:pPr>
        <w:rPr>
          <w:rFonts w:ascii="Times New Roman" w:hAnsi="Times New Roman" w:cs="Times New Roman"/>
        </w:rPr>
      </w:pPr>
    </w:p>
    <w:p w14:paraId="1D4DAC51" w14:textId="77777777" w:rsidR="00FB16DE" w:rsidRPr="003F6B7E" w:rsidRDefault="000A558C" w:rsidP="004009FD">
      <w:pPr>
        <w:rPr>
          <w:rFonts w:ascii="Times New Roman" w:hAnsi="Times New Roman" w:cs="Times New Roman"/>
        </w:rPr>
      </w:pPr>
      <w:r w:rsidRPr="003F6B7E">
        <w:rPr>
          <w:rFonts w:ascii="Times New Roman" w:hAnsi="Times New Roman" w:cs="Times New Roman"/>
        </w:rPr>
        <w:t>The NCCOA concluded that the second business entity is not a party</w:t>
      </w:r>
      <w:r w:rsidR="00D75630" w:rsidRPr="003F6B7E">
        <w:rPr>
          <w:rFonts w:ascii="Times New Roman" w:hAnsi="Times New Roman" w:cs="Times New Roman"/>
        </w:rPr>
        <w:t xml:space="preserve">. </w:t>
      </w:r>
      <w:r w:rsidRPr="003F6B7E">
        <w:rPr>
          <w:rFonts w:ascii="Times New Roman" w:hAnsi="Times New Roman" w:cs="Times New Roman"/>
        </w:rPr>
        <w:t xml:space="preserve">No </w:t>
      </w:r>
      <w:r w:rsidR="004213D1" w:rsidRPr="003F6B7E">
        <w:rPr>
          <w:rFonts w:ascii="Times New Roman" w:hAnsi="Times New Roman" w:cs="Times New Roman"/>
        </w:rPr>
        <w:t xml:space="preserve">summons was issued for the second business entity, </w:t>
      </w:r>
      <w:r w:rsidR="00D75630" w:rsidRPr="003F6B7E">
        <w:rPr>
          <w:rFonts w:ascii="Times New Roman" w:hAnsi="Times New Roman" w:cs="Times New Roman"/>
        </w:rPr>
        <w:t xml:space="preserve">nothing in </w:t>
      </w:r>
      <w:r w:rsidR="004213D1" w:rsidRPr="003F6B7E">
        <w:rPr>
          <w:rFonts w:ascii="Times New Roman" w:hAnsi="Times New Roman" w:cs="Times New Roman"/>
        </w:rPr>
        <w:t xml:space="preserve">the record </w:t>
      </w:r>
      <w:r w:rsidR="00DA43C8" w:rsidRPr="003F6B7E">
        <w:rPr>
          <w:rFonts w:ascii="Times New Roman" w:hAnsi="Times New Roman" w:cs="Times New Roman"/>
        </w:rPr>
        <w:t xml:space="preserve">shows </w:t>
      </w:r>
      <w:r w:rsidR="00D75630" w:rsidRPr="003F6B7E">
        <w:rPr>
          <w:rFonts w:ascii="Times New Roman" w:hAnsi="Times New Roman" w:cs="Times New Roman"/>
        </w:rPr>
        <w:t xml:space="preserve">it was </w:t>
      </w:r>
      <w:r w:rsidR="004213D1" w:rsidRPr="003F6B7E">
        <w:rPr>
          <w:rFonts w:ascii="Times New Roman" w:hAnsi="Times New Roman" w:cs="Times New Roman"/>
        </w:rPr>
        <w:t>joined as a party</w:t>
      </w:r>
      <w:r w:rsidR="00D75630" w:rsidRPr="003F6B7E">
        <w:rPr>
          <w:rFonts w:ascii="Times New Roman" w:hAnsi="Times New Roman" w:cs="Times New Roman"/>
        </w:rPr>
        <w:t xml:space="preserve">, nothing shows it </w:t>
      </w:r>
      <w:r w:rsidR="009F017D" w:rsidRPr="003F6B7E">
        <w:rPr>
          <w:rFonts w:ascii="Times New Roman" w:hAnsi="Times New Roman" w:cs="Times New Roman"/>
        </w:rPr>
        <w:t>was present at any hearing</w:t>
      </w:r>
      <w:r w:rsidR="004213D1" w:rsidRPr="003F6B7E">
        <w:rPr>
          <w:rFonts w:ascii="Times New Roman" w:hAnsi="Times New Roman" w:cs="Times New Roman"/>
        </w:rPr>
        <w:t>,</w:t>
      </w:r>
      <w:r w:rsidR="00DA43C8" w:rsidRPr="003F6B7E">
        <w:rPr>
          <w:rFonts w:ascii="Times New Roman" w:hAnsi="Times New Roman" w:cs="Times New Roman"/>
        </w:rPr>
        <w:t xml:space="preserve"> and counsel for the individual defendant and first business entity never entered an appearance on behalf of the second business entity</w:t>
      </w:r>
      <w:r w:rsidR="00D75630" w:rsidRPr="003F6B7E">
        <w:rPr>
          <w:rFonts w:ascii="Times New Roman" w:hAnsi="Times New Roman" w:cs="Times New Roman"/>
        </w:rPr>
        <w:t>.</w:t>
      </w:r>
      <w:r w:rsidR="00DA43C8" w:rsidRPr="003F6B7E">
        <w:rPr>
          <w:rFonts w:ascii="Times New Roman" w:hAnsi="Times New Roman" w:cs="Times New Roman"/>
        </w:rPr>
        <w:t xml:space="preserve"> </w:t>
      </w:r>
      <w:r w:rsidR="00D75630" w:rsidRPr="003F6B7E">
        <w:rPr>
          <w:rFonts w:ascii="Times New Roman" w:hAnsi="Times New Roman" w:cs="Times New Roman"/>
        </w:rPr>
        <w:t xml:space="preserve">As a non-party, the second business entity </w:t>
      </w:r>
      <w:r w:rsidR="00B13CC4" w:rsidRPr="003F6B7E">
        <w:rPr>
          <w:rFonts w:ascii="Times New Roman" w:hAnsi="Times New Roman" w:cs="Times New Roman"/>
        </w:rPr>
        <w:t xml:space="preserve">may not file a notice of appeal. The individual defendant may not object to the trial court’s lack of personal jurisdiction </w:t>
      </w:r>
      <w:r w:rsidR="0012675E" w:rsidRPr="003F6B7E">
        <w:rPr>
          <w:rFonts w:ascii="Times New Roman" w:hAnsi="Times New Roman" w:cs="Times New Roman"/>
        </w:rPr>
        <w:t xml:space="preserve">over the second business entity; “objections to the court’s exercise of personal jurisdiction must be raised by the party </w:t>
      </w:r>
      <w:r w:rsidR="0012675E" w:rsidRPr="003F6B7E">
        <w:rPr>
          <w:rFonts w:ascii="Times New Roman" w:hAnsi="Times New Roman" w:cs="Times New Roman"/>
          <w:i/>
          <w:iCs/>
        </w:rPr>
        <w:t>itself</w:t>
      </w:r>
      <w:r w:rsidR="0012675E" w:rsidRPr="003F6B7E">
        <w:rPr>
          <w:rFonts w:ascii="Times New Roman" w:hAnsi="Times New Roman" w:cs="Times New Roman"/>
        </w:rPr>
        <w:t>.” Slip op. at 8 (emphasis in original).</w:t>
      </w:r>
    </w:p>
    <w:p w14:paraId="5089BE3F" w14:textId="77777777" w:rsidR="00FB16DE" w:rsidRPr="003F6B7E" w:rsidRDefault="00FB16DE" w:rsidP="004009FD">
      <w:pPr>
        <w:rPr>
          <w:rFonts w:ascii="Times New Roman" w:hAnsi="Times New Roman" w:cs="Times New Roman"/>
        </w:rPr>
      </w:pPr>
    </w:p>
    <w:p w14:paraId="4849F09B" w14:textId="503D4C89" w:rsidR="004009FD" w:rsidRPr="003F6B7E" w:rsidRDefault="00742B5F" w:rsidP="004009FD">
      <w:pPr>
        <w:rPr>
          <w:rFonts w:ascii="Times New Roman" w:hAnsi="Times New Roman" w:cs="Times New Roman"/>
        </w:rPr>
      </w:pPr>
      <w:r w:rsidRPr="003F6B7E">
        <w:rPr>
          <w:rFonts w:ascii="Times New Roman" w:hAnsi="Times New Roman" w:cs="Times New Roman"/>
        </w:rPr>
        <w:t xml:space="preserve">A charging order </w:t>
      </w:r>
      <w:r w:rsidR="00C74EE6" w:rsidRPr="003F6B7E">
        <w:rPr>
          <w:rFonts w:ascii="Times New Roman" w:hAnsi="Times New Roman" w:cs="Times New Roman"/>
        </w:rPr>
        <w:t xml:space="preserve">charges the judgment debtor’s economic interest in an LLC and provides the judgment creditor </w:t>
      </w:r>
      <w:r w:rsidR="00FA643F" w:rsidRPr="003F6B7E">
        <w:rPr>
          <w:rFonts w:ascii="Times New Roman" w:hAnsi="Times New Roman" w:cs="Times New Roman"/>
        </w:rPr>
        <w:t>“</w:t>
      </w:r>
      <w:r w:rsidR="00C74EE6" w:rsidRPr="003F6B7E">
        <w:rPr>
          <w:rFonts w:ascii="Times New Roman" w:hAnsi="Times New Roman" w:cs="Times New Roman"/>
        </w:rPr>
        <w:t>only the right to receive the distributions that otherwise would be paid to the interest owner[.]”</w:t>
      </w:r>
      <w:r w:rsidR="00FA643F" w:rsidRPr="003F6B7E">
        <w:rPr>
          <w:rFonts w:ascii="Times New Roman" w:hAnsi="Times New Roman" w:cs="Times New Roman"/>
        </w:rPr>
        <w:t xml:space="preserve"> G.S. 57D-5-03(a).</w:t>
      </w:r>
      <w:r w:rsidR="008F14EB" w:rsidRPr="003F6B7E">
        <w:rPr>
          <w:rFonts w:ascii="Times New Roman" w:hAnsi="Times New Roman" w:cs="Times New Roman"/>
        </w:rPr>
        <w:t xml:space="preserve"> The judgment debtor’s salary paid by the LLC is not a distribution under a charging order.</w:t>
      </w:r>
      <w:r w:rsidR="00160B70" w:rsidRPr="003F6B7E">
        <w:rPr>
          <w:rFonts w:ascii="Times New Roman" w:hAnsi="Times New Roman" w:cs="Times New Roman"/>
        </w:rPr>
        <w:t xml:space="preserve"> The superior court cannot charge the future earnings of a defendant</w:t>
      </w:r>
      <w:r w:rsidR="009E66CB" w:rsidRPr="003F6B7E">
        <w:rPr>
          <w:rFonts w:ascii="Times New Roman" w:hAnsi="Times New Roman" w:cs="Times New Roman"/>
        </w:rPr>
        <w:t>,</w:t>
      </w:r>
      <w:r w:rsidR="00FA5C68" w:rsidRPr="003F6B7E">
        <w:rPr>
          <w:rFonts w:ascii="Times New Roman" w:hAnsi="Times New Roman" w:cs="Times New Roman"/>
        </w:rPr>
        <w:t xml:space="preserve"> and future earnings are not </w:t>
      </w:r>
      <w:r w:rsidR="00A01755" w:rsidRPr="003F6B7E">
        <w:rPr>
          <w:rFonts w:ascii="Times New Roman" w:hAnsi="Times New Roman" w:cs="Times New Roman"/>
        </w:rPr>
        <w:t xml:space="preserve">reached by </w:t>
      </w:r>
      <w:r w:rsidR="00FA5C68" w:rsidRPr="003F6B7E">
        <w:rPr>
          <w:rFonts w:ascii="Times New Roman" w:hAnsi="Times New Roman" w:cs="Times New Roman"/>
        </w:rPr>
        <w:t>supplemental proceedings</w:t>
      </w:r>
      <w:r w:rsidR="00160B70" w:rsidRPr="003F6B7E">
        <w:rPr>
          <w:rFonts w:ascii="Times New Roman" w:hAnsi="Times New Roman" w:cs="Times New Roman"/>
        </w:rPr>
        <w:t>.</w:t>
      </w:r>
      <w:r w:rsidR="008F14EB" w:rsidRPr="003F6B7E">
        <w:rPr>
          <w:rFonts w:ascii="Times New Roman" w:hAnsi="Times New Roman" w:cs="Times New Roman"/>
        </w:rPr>
        <w:t xml:space="preserve"> </w:t>
      </w:r>
      <w:r w:rsidR="004009FD" w:rsidRPr="003F6B7E">
        <w:rPr>
          <w:rFonts w:ascii="Times New Roman" w:hAnsi="Times New Roman" w:cs="Times New Roman"/>
        </w:rPr>
        <w:t xml:space="preserve">An injunction requiring the disclosure of assets and </w:t>
      </w:r>
      <w:r w:rsidR="00A01755" w:rsidRPr="003F6B7E">
        <w:rPr>
          <w:rFonts w:ascii="Times New Roman" w:hAnsi="Times New Roman" w:cs="Times New Roman"/>
        </w:rPr>
        <w:t xml:space="preserve">also </w:t>
      </w:r>
      <w:r w:rsidR="004009FD" w:rsidRPr="003F6B7E">
        <w:rPr>
          <w:rFonts w:ascii="Times New Roman" w:hAnsi="Times New Roman" w:cs="Times New Roman"/>
        </w:rPr>
        <w:t>forbidding the</w:t>
      </w:r>
      <w:r w:rsidR="00A01755" w:rsidRPr="003F6B7E">
        <w:rPr>
          <w:rFonts w:ascii="Times New Roman" w:hAnsi="Times New Roman" w:cs="Times New Roman"/>
        </w:rPr>
        <w:t>ir</w:t>
      </w:r>
      <w:r w:rsidR="004009FD" w:rsidRPr="003F6B7E">
        <w:rPr>
          <w:rFonts w:ascii="Times New Roman" w:hAnsi="Times New Roman" w:cs="Times New Roman"/>
        </w:rPr>
        <w:t xml:space="preserve"> transfer is sufficiently specific under Rule 65(d) when the party enjoined has not shown difficulty in understanding the meaning of the term “assets”</w:t>
      </w:r>
      <w:r w:rsidR="00E04994" w:rsidRPr="003F6B7E">
        <w:rPr>
          <w:rFonts w:ascii="Times New Roman" w:hAnsi="Times New Roman" w:cs="Times New Roman"/>
        </w:rPr>
        <w:t>—the common dictionary definition is specific enough.</w:t>
      </w:r>
    </w:p>
    <w:p w14:paraId="2322A276" w14:textId="56A48216" w:rsidR="00742B5F" w:rsidRDefault="00742B5F" w:rsidP="00306C04">
      <w:pPr>
        <w:rPr>
          <w:rFonts w:ascii="Times New Roman" w:hAnsi="Times New Roman" w:cs="Times New Roman"/>
        </w:rPr>
      </w:pPr>
    </w:p>
    <w:p w14:paraId="0B7D606D" w14:textId="77777777" w:rsidR="008B7D9A" w:rsidRPr="003F6B7E" w:rsidRDefault="008B7D9A" w:rsidP="00306C04">
      <w:pPr>
        <w:rPr>
          <w:rFonts w:ascii="Times New Roman" w:hAnsi="Times New Roman" w:cs="Times New Roman"/>
        </w:rPr>
      </w:pPr>
    </w:p>
    <w:p w14:paraId="5123184B" w14:textId="644EB39E" w:rsidR="00F956A2" w:rsidRPr="003F6B7E" w:rsidRDefault="009D41B0" w:rsidP="002E2CEA">
      <w:pPr>
        <w:pStyle w:val="Heading2"/>
        <w:rPr>
          <w:rFonts w:ascii="Times New Roman" w:hAnsi="Times New Roman" w:cs="Times New Roman"/>
        </w:rPr>
      </w:pPr>
      <w:bookmarkStart w:id="4" w:name="_Toc242276211"/>
      <w:r w:rsidRPr="003F6B7E">
        <w:rPr>
          <w:rFonts w:ascii="Times New Roman" w:hAnsi="Times New Roman" w:cs="Times New Roman"/>
        </w:rPr>
        <w:lastRenderedPageBreak/>
        <w:t>Rule 8</w:t>
      </w:r>
      <w:bookmarkEnd w:id="4"/>
    </w:p>
    <w:p w14:paraId="0C356885" w14:textId="5C47209D" w:rsidR="00F956A2" w:rsidRPr="003F6B7E" w:rsidRDefault="00F956A2" w:rsidP="009D41B0">
      <w:pPr>
        <w:spacing w:line="240" w:lineRule="auto"/>
        <w:rPr>
          <w:rFonts w:ascii="Times New Roman" w:hAnsi="Times New Roman" w:cs="Times New Roman"/>
          <w:b/>
          <w:bCs/>
        </w:rPr>
      </w:pPr>
      <w:r w:rsidRPr="003F6B7E">
        <w:rPr>
          <w:rFonts w:ascii="Times New Roman" w:hAnsi="Times New Roman" w:cs="Times New Roman"/>
          <w:b/>
          <w:bCs/>
        </w:rPr>
        <w:t xml:space="preserve">A document central to </w:t>
      </w:r>
      <w:r w:rsidR="004E361C" w:rsidRPr="003F6B7E">
        <w:rPr>
          <w:rFonts w:ascii="Times New Roman" w:hAnsi="Times New Roman" w:cs="Times New Roman"/>
          <w:b/>
          <w:bCs/>
        </w:rPr>
        <w:t xml:space="preserve">a claim </w:t>
      </w:r>
      <w:r w:rsidRPr="003F6B7E">
        <w:rPr>
          <w:rFonts w:ascii="Times New Roman" w:hAnsi="Times New Roman" w:cs="Times New Roman"/>
          <w:b/>
          <w:bCs/>
        </w:rPr>
        <w:t>and referenced by the complaint, even though not attached</w:t>
      </w:r>
      <w:r w:rsidR="00CD44A4" w:rsidRPr="003F6B7E">
        <w:rPr>
          <w:rFonts w:ascii="Times New Roman" w:hAnsi="Times New Roman" w:cs="Times New Roman"/>
          <w:b/>
          <w:bCs/>
        </w:rPr>
        <w:t xml:space="preserve"> to the complaint</w:t>
      </w:r>
      <w:r w:rsidRPr="003F6B7E">
        <w:rPr>
          <w:rFonts w:ascii="Times New Roman" w:hAnsi="Times New Roman" w:cs="Times New Roman"/>
          <w:b/>
          <w:bCs/>
        </w:rPr>
        <w:t xml:space="preserve">, may be incorporated by reference and treated as part of the complaint when the trial court considers a Rule 12(b)(6) motion to dismiss. </w:t>
      </w:r>
      <w:r w:rsidR="00CD44A4" w:rsidRPr="003F6B7E">
        <w:rPr>
          <w:rFonts w:ascii="Times New Roman" w:hAnsi="Times New Roman" w:cs="Times New Roman"/>
          <w:b/>
          <w:bCs/>
        </w:rPr>
        <w:t>Notice pleading remains the rule in North Carolina, even if a motion to dismiss for failure to state a claim may lead to a different result in federal court.</w:t>
      </w:r>
    </w:p>
    <w:p w14:paraId="27F733AD" w14:textId="77777777" w:rsidR="009D41B0" w:rsidRPr="003F6B7E" w:rsidRDefault="009D41B0" w:rsidP="009D41B0">
      <w:pPr>
        <w:spacing w:line="240" w:lineRule="auto"/>
        <w:rPr>
          <w:rFonts w:ascii="Times New Roman" w:hAnsi="Times New Roman" w:cs="Times New Roman"/>
          <w:b/>
          <w:bCs/>
        </w:rPr>
      </w:pPr>
    </w:p>
    <w:p w14:paraId="6B42F0BD" w14:textId="72989004" w:rsidR="00F05A2C" w:rsidRPr="003F6B7E" w:rsidRDefault="00306C04" w:rsidP="00F05A2C">
      <w:pPr>
        <w:rPr>
          <w:rFonts w:ascii="Times New Roman" w:hAnsi="Times New Roman" w:cs="Times New Roman"/>
        </w:rPr>
      </w:pPr>
      <w:hyperlink r:id="rId12" w:history="1">
        <w:r w:rsidRPr="003F6B7E">
          <w:rPr>
            <w:rStyle w:val="Hyperlink"/>
            <w:rFonts w:ascii="Times New Roman" w:hAnsi="Times New Roman" w:cs="Times New Roman"/>
          </w:rPr>
          <w:t>Turpin v. Charlotte Latin Schools</w:t>
        </w:r>
        <w:r w:rsidR="000B341B" w:rsidRPr="003F6B7E">
          <w:rPr>
            <w:rStyle w:val="Hyperlink"/>
            <w:rFonts w:ascii="Times New Roman" w:hAnsi="Times New Roman" w:cs="Times New Roman"/>
          </w:rPr>
          <w:t>, Inc.</w:t>
        </w:r>
      </w:hyperlink>
      <w:r w:rsidR="00343354" w:rsidRPr="003F6B7E">
        <w:rPr>
          <w:rFonts w:ascii="Times New Roman" w:hAnsi="Times New Roman" w:cs="Times New Roman"/>
        </w:rPr>
        <w:t xml:space="preserve">, </w:t>
      </w:r>
      <w:r w:rsidRPr="003F6B7E">
        <w:rPr>
          <w:rFonts w:ascii="Times New Roman" w:hAnsi="Times New Roman" w:cs="Times New Roman"/>
        </w:rPr>
        <w:t>86A23</w:t>
      </w:r>
      <w:r w:rsidR="00343354" w:rsidRPr="003F6B7E">
        <w:rPr>
          <w:rFonts w:ascii="Times New Roman" w:hAnsi="Times New Roman" w:cs="Times New Roman"/>
        </w:rPr>
        <w:t xml:space="preserve"> (N.C. Aug. 14, 2026) (</w:t>
      </w:r>
      <w:r w:rsidR="007A63FC" w:rsidRPr="003F6B7E">
        <w:rPr>
          <w:rFonts w:ascii="Times New Roman" w:hAnsi="Times New Roman" w:cs="Times New Roman"/>
        </w:rPr>
        <w:t>Dietz).</w:t>
      </w:r>
      <w:r w:rsidR="00001107" w:rsidRPr="003F6B7E">
        <w:rPr>
          <w:rFonts w:ascii="Times New Roman" w:hAnsi="Times New Roman" w:cs="Times New Roman"/>
        </w:rPr>
        <w:t xml:space="preserve"> </w:t>
      </w:r>
      <w:r w:rsidR="00F101C4" w:rsidRPr="003F6B7E">
        <w:rPr>
          <w:rFonts w:ascii="Times New Roman" w:hAnsi="Times New Roman" w:cs="Times New Roman"/>
        </w:rPr>
        <w:t xml:space="preserve">Action for breach of contract, fraud, </w:t>
      </w:r>
      <w:r w:rsidR="007570F1" w:rsidRPr="003F6B7E">
        <w:rPr>
          <w:rFonts w:ascii="Times New Roman" w:hAnsi="Times New Roman" w:cs="Times New Roman"/>
        </w:rPr>
        <w:t xml:space="preserve">unfair and deceptive trade practices, </w:t>
      </w:r>
      <w:r w:rsidR="00F101C4" w:rsidRPr="003F6B7E">
        <w:rPr>
          <w:rFonts w:ascii="Times New Roman" w:hAnsi="Times New Roman" w:cs="Times New Roman"/>
        </w:rPr>
        <w:t xml:space="preserve">defamation, and another claims. </w:t>
      </w:r>
      <w:r w:rsidR="00FA3437" w:rsidRPr="003F6B7E">
        <w:rPr>
          <w:rFonts w:ascii="Times New Roman" w:hAnsi="Times New Roman" w:cs="Times New Roman"/>
        </w:rPr>
        <w:t xml:space="preserve">Parents troubled by changes in the curriculum of the private school attended by their children </w:t>
      </w:r>
      <w:r w:rsidR="00885063" w:rsidRPr="003F6B7E">
        <w:rPr>
          <w:rFonts w:ascii="Times New Roman" w:hAnsi="Times New Roman" w:cs="Times New Roman"/>
        </w:rPr>
        <w:t xml:space="preserve">formed an organization to </w:t>
      </w:r>
      <w:r w:rsidR="00256D1D" w:rsidRPr="003F6B7E">
        <w:rPr>
          <w:rFonts w:ascii="Times New Roman" w:hAnsi="Times New Roman" w:cs="Times New Roman"/>
        </w:rPr>
        <w:t>raise concerns with the board of trustees.</w:t>
      </w:r>
      <w:r w:rsidR="00773A45" w:rsidRPr="003F6B7E">
        <w:rPr>
          <w:rFonts w:ascii="Times New Roman" w:hAnsi="Times New Roman" w:cs="Times New Roman"/>
        </w:rPr>
        <w:t xml:space="preserve"> Plaintiff</w:t>
      </w:r>
      <w:r w:rsidR="00ED49DD" w:rsidRPr="003F6B7E">
        <w:rPr>
          <w:rFonts w:ascii="Times New Roman" w:hAnsi="Times New Roman" w:cs="Times New Roman"/>
        </w:rPr>
        <w:t>s</w:t>
      </w:r>
      <w:r w:rsidR="00773A45" w:rsidRPr="003F6B7E">
        <w:rPr>
          <w:rFonts w:ascii="Times New Roman" w:hAnsi="Times New Roman" w:cs="Times New Roman"/>
        </w:rPr>
        <w:t xml:space="preserve"> were among the </w:t>
      </w:r>
      <w:r w:rsidR="001818BF" w:rsidRPr="003F6B7E">
        <w:rPr>
          <w:rFonts w:ascii="Times New Roman" w:hAnsi="Times New Roman" w:cs="Times New Roman"/>
        </w:rPr>
        <w:t>organization’</w:t>
      </w:r>
      <w:r w:rsidR="00106DE7" w:rsidRPr="003F6B7E">
        <w:rPr>
          <w:rFonts w:ascii="Times New Roman" w:hAnsi="Times New Roman" w:cs="Times New Roman"/>
        </w:rPr>
        <w:t>s</w:t>
      </w:r>
      <w:r w:rsidR="001818BF" w:rsidRPr="003F6B7E">
        <w:rPr>
          <w:rFonts w:ascii="Times New Roman" w:hAnsi="Times New Roman" w:cs="Times New Roman"/>
        </w:rPr>
        <w:t xml:space="preserve"> </w:t>
      </w:r>
      <w:r w:rsidR="00773A45" w:rsidRPr="003F6B7E">
        <w:rPr>
          <w:rFonts w:ascii="Times New Roman" w:hAnsi="Times New Roman" w:cs="Times New Roman"/>
        </w:rPr>
        <w:t>founders</w:t>
      </w:r>
      <w:r w:rsidR="00ED49DD" w:rsidRPr="003F6B7E">
        <w:rPr>
          <w:rFonts w:ascii="Times New Roman" w:hAnsi="Times New Roman" w:cs="Times New Roman"/>
        </w:rPr>
        <w:t xml:space="preserve">; </w:t>
      </w:r>
      <w:r w:rsidR="002838EC" w:rsidRPr="003F6B7E">
        <w:rPr>
          <w:rFonts w:ascii="Times New Roman" w:hAnsi="Times New Roman" w:cs="Times New Roman"/>
        </w:rPr>
        <w:t xml:space="preserve">one </w:t>
      </w:r>
      <w:r w:rsidR="00106DE7" w:rsidRPr="003F6B7E">
        <w:rPr>
          <w:rFonts w:ascii="Times New Roman" w:hAnsi="Times New Roman" w:cs="Times New Roman"/>
        </w:rPr>
        <w:t>p</w:t>
      </w:r>
      <w:r w:rsidR="002838EC" w:rsidRPr="003F6B7E">
        <w:rPr>
          <w:rFonts w:ascii="Times New Roman" w:hAnsi="Times New Roman" w:cs="Times New Roman"/>
        </w:rPr>
        <w:t xml:space="preserve">laintiff </w:t>
      </w:r>
      <w:r w:rsidR="00A86021" w:rsidRPr="003F6B7E">
        <w:rPr>
          <w:rFonts w:ascii="Times New Roman" w:hAnsi="Times New Roman" w:cs="Times New Roman"/>
        </w:rPr>
        <w:t xml:space="preserve">delivered a PowerPoint </w:t>
      </w:r>
      <w:r w:rsidR="002838EC" w:rsidRPr="003F6B7E">
        <w:rPr>
          <w:rFonts w:ascii="Times New Roman" w:hAnsi="Times New Roman" w:cs="Times New Roman"/>
        </w:rPr>
        <w:t>presentation to the board</w:t>
      </w:r>
      <w:r w:rsidR="00ED49DD" w:rsidRPr="003F6B7E">
        <w:rPr>
          <w:rFonts w:ascii="Times New Roman" w:hAnsi="Times New Roman" w:cs="Times New Roman"/>
        </w:rPr>
        <w:t xml:space="preserve"> and met</w:t>
      </w:r>
      <w:r w:rsidR="000A5C80" w:rsidRPr="003F6B7E">
        <w:rPr>
          <w:rFonts w:ascii="Times New Roman" w:hAnsi="Times New Roman" w:cs="Times New Roman"/>
        </w:rPr>
        <w:t xml:space="preserve"> </w:t>
      </w:r>
      <w:r w:rsidR="00D23489" w:rsidRPr="003F6B7E">
        <w:rPr>
          <w:rFonts w:ascii="Times New Roman" w:hAnsi="Times New Roman" w:cs="Times New Roman"/>
        </w:rPr>
        <w:t xml:space="preserve">with school leadership. </w:t>
      </w:r>
      <w:r w:rsidR="00A03D43" w:rsidRPr="003F6B7E">
        <w:rPr>
          <w:rFonts w:ascii="Times New Roman" w:hAnsi="Times New Roman" w:cs="Times New Roman"/>
        </w:rPr>
        <w:t xml:space="preserve">Following that meeting, the school terminated </w:t>
      </w:r>
      <w:r w:rsidR="00106DE7" w:rsidRPr="003F6B7E">
        <w:rPr>
          <w:rFonts w:ascii="Times New Roman" w:hAnsi="Times New Roman" w:cs="Times New Roman"/>
        </w:rPr>
        <w:t>p</w:t>
      </w:r>
      <w:r w:rsidR="00ED49DD" w:rsidRPr="003F6B7E">
        <w:rPr>
          <w:rFonts w:ascii="Times New Roman" w:hAnsi="Times New Roman" w:cs="Times New Roman"/>
        </w:rPr>
        <w:t>laintiffs’</w:t>
      </w:r>
      <w:r w:rsidR="00A03D43" w:rsidRPr="003F6B7E">
        <w:rPr>
          <w:rFonts w:ascii="Times New Roman" w:hAnsi="Times New Roman" w:cs="Times New Roman"/>
        </w:rPr>
        <w:t xml:space="preserve"> enrollment agreement and expelled </w:t>
      </w:r>
      <w:r w:rsidR="00106DE7" w:rsidRPr="003F6B7E">
        <w:rPr>
          <w:rFonts w:ascii="Times New Roman" w:hAnsi="Times New Roman" w:cs="Times New Roman"/>
        </w:rPr>
        <w:t>p</w:t>
      </w:r>
      <w:r w:rsidR="00A03D43" w:rsidRPr="003F6B7E">
        <w:rPr>
          <w:rFonts w:ascii="Times New Roman" w:hAnsi="Times New Roman" w:cs="Times New Roman"/>
        </w:rPr>
        <w:t>laintiffs’ children.</w:t>
      </w:r>
      <w:r w:rsidR="00ED49DD" w:rsidRPr="003F6B7E">
        <w:rPr>
          <w:rFonts w:ascii="Times New Roman" w:hAnsi="Times New Roman" w:cs="Times New Roman"/>
        </w:rPr>
        <w:t xml:space="preserve"> </w:t>
      </w:r>
      <w:r w:rsidR="00C832CD" w:rsidRPr="003F6B7E">
        <w:rPr>
          <w:rFonts w:ascii="Times New Roman" w:hAnsi="Times New Roman" w:cs="Times New Roman"/>
        </w:rPr>
        <w:t>Plaintiffs further alleged that d</w:t>
      </w:r>
      <w:r w:rsidR="00DB3323" w:rsidRPr="003F6B7E">
        <w:rPr>
          <w:rFonts w:ascii="Times New Roman" w:hAnsi="Times New Roman" w:cs="Times New Roman"/>
        </w:rPr>
        <w:t xml:space="preserve">efendants </w:t>
      </w:r>
      <w:r w:rsidR="00851C71" w:rsidRPr="003F6B7E">
        <w:rPr>
          <w:rFonts w:ascii="Times New Roman" w:hAnsi="Times New Roman" w:cs="Times New Roman"/>
        </w:rPr>
        <w:t xml:space="preserve">uttered and </w:t>
      </w:r>
      <w:r w:rsidR="00A86021" w:rsidRPr="003F6B7E">
        <w:rPr>
          <w:rFonts w:ascii="Times New Roman" w:hAnsi="Times New Roman" w:cs="Times New Roman"/>
        </w:rPr>
        <w:t>published statement</w:t>
      </w:r>
      <w:r w:rsidR="00851C71" w:rsidRPr="003F6B7E">
        <w:rPr>
          <w:rFonts w:ascii="Times New Roman" w:hAnsi="Times New Roman" w:cs="Times New Roman"/>
        </w:rPr>
        <w:t>s</w:t>
      </w:r>
      <w:r w:rsidR="00A86021" w:rsidRPr="003F6B7E">
        <w:rPr>
          <w:rFonts w:ascii="Times New Roman" w:hAnsi="Times New Roman" w:cs="Times New Roman"/>
        </w:rPr>
        <w:t xml:space="preserve"> that </w:t>
      </w:r>
      <w:r w:rsidR="00106DE7" w:rsidRPr="003F6B7E">
        <w:rPr>
          <w:rFonts w:ascii="Times New Roman" w:hAnsi="Times New Roman" w:cs="Times New Roman"/>
        </w:rPr>
        <w:t>p</w:t>
      </w:r>
      <w:r w:rsidR="00ED49DD" w:rsidRPr="003F6B7E">
        <w:rPr>
          <w:rFonts w:ascii="Times New Roman" w:hAnsi="Times New Roman" w:cs="Times New Roman"/>
        </w:rPr>
        <w:t>laintiffs</w:t>
      </w:r>
      <w:r w:rsidR="00A86021" w:rsidRPr="003F6B7E">
        <w:rPr>
          <w:rFonts w:ascii="Times New Roman" w:hAnsi="Times New Roman" w:cs="Times New Roman"/>
        </w:rPr>
        <w:t xml:space="preserve">’ PowerPoint presentation </w:t>
      </w:r>
      <w:r w:rsidR="00B11A6C" w:rsidRPr="003F6B7E">
        <w:rPr>
          <w:rFonts w:ascii="Times New Roman" w:hAnsi="Times New Roman" w:cs="Times New Roman"/>
        </w:rPr>
        <w:t>contained racist assertions. Plaintiffs</w:t>
      </w:r>
      <w:r w:rsidR="00ED49DD" w:rsidRPr="003F6B7E">
        <w:rPr>
          <w:rFonts w:ascii="Times New Roman" w:hAnsi="Times New Roman" w:cs="Times New Roman"/>
        </w:rPr>
        <w:t xml:space="preserve"> filed </w:t>
      </w:r>
      <w:r w:rsidR="007570F1" w:rsidRPr="003F6B7E">
        <w:rPr>
          <w:rFonts w:ascii="Times New Roman" w:hAnsi="Times New Roman" w:cs="Times New Roman"/>
        </w:rPr>
        <w:t xml:space="preserve">complaint without attaching the enrollment agreement or PowerPoint </w:t>
      </w:r>
      <w:r w:rsidR="0051266A" w:rsidRPr="003F6B7E">
        <w:rPr>
          <w:rFonts w:ascii="Times New Roman" w:hAnsi="Times New Roman" w:cs="Times New Roman"/>
        </w:rPr>
        <w:t>presentation</w:t>
      </w:r>
      <w:r w:rsidR="009915D6" w:rsidRPr="003F6B7E">
        <w:rPr>
          <w:rFonts w:ascii="Times New Roman" w:hAnsi="Times New Roman" w:cs="Times New Roman"/>
        </w:rPr>
        <w:t>. Defendants moved to dismiss under Rule 12(b)(6)</w:t>
      </w:r>
      <w:r w:rsidR="00380BD5" w:rsidRPr="003F6B7E">
        <w:rPr>
          <w:rFonts w:ascii="Times New Roman" w:hAnsi="Times New Roman" w:cs="Times New Roman"/>
        </w:rPr>
        <w:t xml:space="preserve">, attaching the enrollment agreement and </w:t>
      </w:r>
      <w:r w:rsidR="0051266A" w:rsidRPr="003F6B7E">
        <w:rPr>
          <w:rFonts w:ascii="Times New Roman" w:hAnsi="Times New Roman" w:cs="Times New Roman"/>
        </w:rPr>
        <w:t xml:space="preserve">PowerPoint </w:t>
      </w:r>
      <w:r w:rsidR="005D4BCB" w:rsidRPr="003F6B7E">
        <w:rPr>
          <w:rFonts w:ascii="Times New Roman" w:hAnsi="Times New Roman" w:cs="Times New Roman"/>
        </w:rPr>
        <w:t xml:space="preserve">presentation </w:t>
      </w:r>
      <w:r w:rsidR="00380BD5" w:rsidRPr="003F6B7E">
        <w:rPr>
          <w:rFonts w:ascii="Times New Roman" w:hAnsi="Times New Roman" w:cs="Times New Roman"/>
        </w:rPr>
        <w:t>among other documents,</w:t>
      </w:r>
      <w:r w:rsidR="000D4165" w:rsidRPr="003F6B7E">
        <w:rPr>
          <w:rFonts w:ascii="Times New Roman" w:hAnsi="Times New Roman" w:cs="Times New Roman"/>
        </w:rPr>
        <w:t xml:space="preserve"> and the trial court dismissed </w:t>
      </w:r>
      <w:r w:rsidR="00E41B53" w:rsidRPr="003F6B7E">
        <w:rPr>
          <w:rFonts w:ascii="Times New Roman" w:hAnsi="Times New Roman" w:cs="Times New Roman"/>
        </w:rPr>
        <w:t xml:space="preserve">all but one claim. Plaintiffs dismissed that claim voluntarily and then appealed. </w:t>
      </w:r>
      <w:r w:rsidR="00486D3C" w:rsidRPr="003F6B7E">
        <w:rPr>
          <w:rFonts w:ascii="Times New Roman" w:hAnsi="Times New Roman" w:cs="Times New Roman"/>
        </w:rPr>
        <w:t xml:space="preserve">A divided </w:t>
      </w:r>
      <w:r w:rsidR="00E41B53" w:rsidRPr="003F6B7E">
        <w:rPr>
          <w:rFonts w:ascii="Times New Roman" w:hAnsi="Times New Roman" w:cs="Times New Roman"/>
        </w:rPr>
        <w:t xml:space="preserve">court of appeals affirmed the trial court’s order </w:t>
      </w:r>
      <w:r w:rsidR="00486D3C" w:rsidRPr="003F6B7E">
        <w:rPr>
          <w:rFonts w:ascii="Times New Roman" w:hAnsi="Times New Roman" w:cs="Times New Roman"/>
        </w:rPr>
        <w:t xml:space="preserve">and </w:t>
      </w:r>
      <w:r w:rsidR="005D4BCB" w:rsidRPr="003F6B7E">
        <w:rPr>
          <w:rFonts w:ascii="Times New Roman" w:hAnsi="Times New Roman" w:cs="Times New Roman"/>
        </w:rPr>
        <w:t>p</w:t>
      </w:r>
      <w:r w:rsidR="00486D3C" w:rsidRPr="003F6B7E">
        <w:rPr>
          <w:rFonts w:ascii="Times New Roman" w:hAnsi="Times New Roman" w:cs="Times New Roman"/>
        </w:rPr>
        <w:t>laintiffs appealed</w:t>
      </w:r>
      <w:r w:rsidR="004F2F8D" w:rsidRPr="003F6B7E">
        <w:rPr>
          <w:rFonts w:ascii="Times New Roman" w:hAnsi="Times New Roman" w:cs="Times New Roman"/>
        </w:rPr>
        <w:t xml:space="preserve"> to the North Carolina Supreme Court (NCSC)</w:t>
      </w:r>
      <w:r w:rsidR="00486D3C" w:rsidRPr="003F6B7E">
        <w:rPr>
          <w:rFonts w:ascii="Times New Roman" w:hAnsi="Times New Roman" w:cs="Times New Roman"/>
        </w:rPr>
        <w:t xml:space="preserve">. </w:t>
      </w:r>
    </w:p>
    <w:p w14:paraId="4E65E6AB" w14:textId="77777777" w:rsidR="00F05A2C" w:rsidRPr="003F6B7E" w:rsidRDefault="00F05A2C" w:rsidP="00F05A2C">
      <w:pPr>
        <w:rPr>
          <w:rFonts w:ascii="Times New Roman" w:hAnsi="Times New Roman" w:cs="Times New Roman"/>
        </w:rPr>
      </w:pPr>
    </w:p>
    <w:p w14:paraId="7EAAACBD" w14:textId="3613ACC5" w:rsidR="00DC2068" w:rsidRPr="003F6B7E" w:rsidRDefault="00486D3C" w:rsidP="00F05A2C">
      <w:pPr>
        <w:rPr>
          <w:rFonts w:ascii="Times New Roman" w:hAnsi="Times New Roman" w:cs="Times New Roman"/>
        </w:rPr>
      </w:pPr>
      <w:r w:rsidRPr="003F6B7E">
        <w:rPr>
          <w:rFonts w:ascii="Times New Roman" w:hAnsi="Times New Roman" w:cs="Times New Roman"/>
        </w:rPr>
        <w:t xml:space="preserve">The </w:t>
      </w:r>
      <w:r w:rsidR="004E361C" w:rsidRPr="003F6B7E">
        <w:rPr>
          <w:rFonts w:ascii="Times New Roman" w:hAnsi="Times New Roman" w:cs="Times New Roman"/>
        </w:rPr>
        <w:t xml:space="preserve">NCSC </w:t>
      </w:r>
      <w:r w:rsidR="00A83190" w:rsidRPr="003F6B7E">
        <w:rPr>
          <w:rFonts w:ascii="Times New Roman" w:hAnsi="Times New Roman" w:cs="Times New Roman"/>
        </w:rPr>
        <w:t xml:space="preserve">took this opportunity to endorse a nuance in the doctrine of incorporation by reference: </w:t>
      </w:r>
      <w:r w:rsidR="004E361C" w:rsidRPr="003F6B7E">
        <w:rPr>
          <w:rFonts w:ascii="Times New Roman" w:hAnsi="Times New Roman" w:cs="Times New Roman"/>
        </w:rPr>
        <w:t xml:space="preserve">documents that are central to a claim raised by a complaint, referenced within the complaint, but not attached to the complaint, may be considered by the trial court as part of the complaint without converting a motion to dismiss under Rule 12(b)(6) into a motion for </w:t>
      </w:r>
      <w:r w:rsidR="004E361C" w:rsidRPr="003F6B7E">
        <w:rPr>
          <w:rFonts w:ascii="Times New Roman" w:hAnsi="Times New Roman" w:cs="Times New Roman"/>
        </w:rPr>
        <w:lastRenderedPageBreak/>
        <w:t xml:space="preserve">summary judgment under Rule 56. </w:t>
      </w:r>
      <w:r w:rsidR="00FE3FAB" w:rsidRPr="003F6B7E">
        <w:rPr>
          <w:rFonts w:ascii="Times New Roman" w:hAnsi="Times New Roman" w:cs="Times New Roman"/>
        </w:rPr>
        <w:t xml:space="preserve">In this case, the enrollment agreement </w:t>
      </w:r>
      <w:r w:rsidR="005E69EE" w:rsidRPr="003F6B7E">
        <w:rPr>
          <w:rFonts w:ascii="Times New Roman" w:hAnsi="Times New Roman" w:cs="Times New Roman"/>
        </w:rPr>
        <w:t xml:space="preserve">central to many of the claims </w:t>
      </w:r>
      <w:r w:rsidR="00722E96" w:rsidRPr="003F6B7E">
        <w:rPr>
          <w:rFonts w:ascii="Times New Roman" w:hAnsi="Times New Roman" w:cs="Times New Roman"/>
        </w:rPr>
        <w:t xml:space="preserve">and referenced by them </w:t>
      </w:r>
      <w:r w:rsidR="005E69EE" w:rsidRPr="003F6B7E">
        <w:rPr>
          <w:rFonts w:ascii="Times New Roman" w:hAnsi="Times New Roman" w:cs="Times New Roman"/>
        </w:rPr>
        <w:t xml:space="preserve">could be treated as part of the complaint, as could the PowerPoint presentation central to </w:t>
      </w:r>
      <w:r w:rsidR="00A07C08" w:rsidRPr="003F6B7E">
        <w:rPr>
          <w:rFonts w:ascii="Times New Roman" w:hAnsi="Times New Roman" w:cs="Times New Roman"/>
        </w:rPr>
        <w:t>the defamation claim</w:t>
      </w:r>
      <w:r w:rsidR="00722E96" w:rsidRPr="003F6B7E">
        <w:rPr>
          <w:rFonts w:ascii="Times New Roman" w:hAnsi="Times New Roman" w:cs="Times New Roman"/>
        </w:rPr>
        <w:t xml:space="preserve"> and referenced by it</w:t>
      </w:r>
      <w:r w:rsidR="00A07C08" w:rsidRPr="003F6B7E">
        <w:rPr>
          <w:rFonts w:ascii="Times New Roman" w:hAnsi="Times New Roman" w:cs="Times New Roman"/>
        </w:rPr>
        <w:t xml:space="preserve">. </w:t>
      </w:r>
    </w:p>
    <w:p w14:paraId="63BE8D04" w14:textId="77777777" w:rsidR="00DC2068" w:rsidRPr="003F6B7E" w:rsidRDefault="00DC2068" w:rsidP="00F05A2C">
      <w:pPr>
        <w:rPr>
          <w:rFonts w:ascii="Times New Roman" w:hAnsi="Times New Roman" w:cs="Times New Roman"/>
        </w:rPr>
      </w:pPr>
    </w:p>
    <w:p w14:paraId="0DE1820D" w14:textId="10E88721" w:rsidR="00C6329A" w:rsidRPr="003F6B7E" w:rsidRDefault="004E361C" w:rsidP="00F05A2C">
      <w:pPr>
        <w:rPr>
          <w:rFonts w:ascii="Times New Roman" w:hAnsi="Times New Roman" w:cs="Times New Roman"/>
        </w:rPr>
      </w:pPr>
      <w:r w:rsidRPr="003F6B7E">
        <w:rPr>
          <w:rFonts w:ascii="Times New Roman" w:hAnsi="Times New Roman" w:cs="Times New Roman"/>
        </w:rPr>
        <w:t xml:space="preserve">The NCSC also </w:t>
      </w:r>
      <w:r w:rsidR="00486D3C" w:rsidRPr="003F6B7E">
        <w:rPr>
          <w:rFonts w:ascii="Times New Roman" w:hAnsi="Times New Roman" w:cs="Times New Roman"/>
        </w:rPr>
        <w:t>clarified that notice pleading remains the standard in state court.</w:t>
      </w:r>
      <w:r w:rsidR="00DD285D" w:rsidRPr="003F6B7E">
        <w:rPr>
          <w:rFonts w:ascii="Times New Roman" w:hAnsi="Times New Roman" w:cs="Times New Roman"/>
        </w:rPr>
        <w:t xml:space="preserve"> </w:t>
      </w:r>
      <w:r w:rsidR="00D23299" w:rsidRPr="003F6B7E">
        <w:rPr>
          <w:rFonts w:ascii="Times New Roman" w:hAnsi="Times New Roman" w:cs="Times New Roman"/>
        </w:rPr>
        <w:t xml:space="preserve">On a Rule 12(b)(6) motion, the court must treat all factual allegations contained in the complaint as true and </w:t>
      </w:r>
      <w:r w:rsidR="00F53040" w:rsidRPr="003F6B7E">
        <w:rPr>
          <w:rFonts w:ascii="Times New Roman" w:hAnsi="Times New Roman" w:cs="Times New Roman"/>
        </w:rPr>
        <w:t xml:space="preserve">must </w:t>
      </w:r>
      <w:r w:rsidR="00D23299" w:rsidRPr="003F6B7E">
        <w:rPr>
          <w:rFonts w:ascii="Times New Roman" w:hAnsi="Times New Roman" w:cs="Times New Roman"/>
        </w:rPr>
        <w:t xml:space="preserve">construe the complaint liberally. </w:t>
      </w:r>
      <w:r w:rsidR="00DD285D" w:rsidRPr="003F6B7E">
        <w:rPr>
          <w:rFonts w:ascii="Times New Roman" w:hAnsi="Times New Roman" w:cs="Times New Roman"/>
        </w:rPr>
        <w:t xml:space="preserve">Under notice pleading, </w:t>
      </w:r>
      <w:r w:rsidR="00D23299" w:rsidRPr="003F6B7E">
        <w:rPr>
          <w:rFonts w:ascii="Times New Roman" w:hAnsi="Times New Roman" w:cs="Times New Roman"/>
        </w:rPr>
        <w:t>a</w:t>
      </w:r>
      <w:r w:rsidR="00DD285D" w:rsidRPr="003F6B7E">
        <w:rPr>
          <w:rFonts w:ascii="Times New Roman" w:hAnsi="Times New Roman" w:cs="Times New Roman"/>
        </w:rPr>
        <w:t xml:space="preserve"> complaint survives a motion to dismiss unless there is no set of facts the plaintiff could prove that would entitle it to relief. </w:t>
      </w:r>
      <w:r w:rsidR="00A2752D" w:rsidRPr="003F6B7E">
        <w:rPr>
          <w:rFonts w:ascii="Times New Roman" w:hAnsi="Times New Roman" w:cs="Times New Roman"/>
        </w:rPr>
        <w:t>While the enrollment agreement in this case allowed the school to make a determination that it could no longer have a</w:t>
      </w:r>
      <w:r w:rsidR="00486D3C" w:rsidRPr="003F6B7E">
        <w:rPr>
          <w:rFonts w:ascii="Times New Roman" w:hAnsi="Times New Roman" w:cs="Times New Roman"/>
        </w:rPr>
        <w:t xml:space="preserve"> </w:t>
      </w:r>
      <w:r w:rsidR="00A2752D" w:rsidRPr="003F6B7E">
        <w:rPr>
          <w:rFonts w:ascii="Times New Roman" w:hAnsi="Times New Roman" w:cs="Times New Roman"/>
        </w:rPr>
        <w:t xml:space="preserve">productive working relationship with parents and enabled the school to terminate the agreement and expel the students without notice, the school still needed to follow the procedure set out in the agreement. As the Plaintiffs alleged that the school failed to make that determination before terminating the agreement and expelling the students, </w:t>
      </w:r>
      <w:r w:rsidR="009613E6" w:rsidRPr="003F6B7E">
        <w:rPr>
          <w:rFonts w:ascii="Times New Roman" w:hAnsi="Times New Roman" w:cs="Times New Roman"/>
        </w:rPr>
        <w:t xml:space="preserve">the complaint survives the motion to dismiss under Rule 12(b)(6), however improbable it is that </w:t>
      </w:r>
      <w:r w:rsidR="00AE57BF" w:rsidRPr="003F6B7E">
        <w:rPr>
          <w:rFonts w:ascii="Times New Roman" w:hAnsi="Times New Roman" w:cs="Times New Roman"/>
        </w:rPr>
        <w:t>p</w:t>
      </w:r>
      <w:r w:rsidR="009613E6" w:rsidRPr="003F6B7E">
        <w:rPr>
          <w:rFonts w:ascii="Times New Roman" w:hAnsi="Times New Roman" w:cs="Times New Roman"/>
        </w:rPr>
        <w:t xml:space="preserve">laintiffs will be able to forecast enough evidence to survive a later motion for summary judgment. </w:t>
      </w:r>
    </w:p>
    <w:p w14:paraId="00301261" w14:textId="77777777" w:rsidR="00C6329A" w:rsidRPr="003F6B7E" w:rsidRDefault="00C6329A" w:rsidP="00F05A2C">
      <w:pPr>
        <w:rPr>
          <w:rFonts w:ascii="Times New Roman" w:hAnsi="Times New Roman" w:cs="Times New Roman"/>
        </w:rPr>
      </w:pPr>
    </w:p>
    <w:p w14:paraId="79690CE2" w14:textId="4D1298F9" w:rsidR="004A6F65" w:rsidRPr="003F6B7E" w:rsidRDefault="008E3989" w:rsidP="00F05A2C">
      <w:pPr>
        <w:rPr>
          <w:rFonts w:ascii="Times New Roman" w:hAnsi="Times New Roman" w:cs="Times New Roman"/>
        </w:rPr>
      </w:pPr>
      <w:r w:rsidRPr="003F6B7E">
        <w:rPr>
          <w:rFonts w:ascii="Times New Roman" w:hAnsi="Times New Roman" w:cs="Times New Roman"/>
        </w:rPr>
        <w:t xml:space="preserve">Similarly, </w:t>
      </w:r>
      <w:r w:rsidR="00CB2D13" w:rsidRPr="003F6B7E">
        <w:rPr>
          <w:rFonts w:ascii="Times New Roman" w:hAnsi="Times New Roman" w:cs="Times New Roman"/>
        </w:rPr>
        <w:t>w</w:t>
      </w:r>
      <w:r w:rsidRPr="003F6B7E">
        <w:rPr>
          <w:rFonts w:ascii="Times New Roman" w:hAnsi="Times New Roman" w:cs="Times New Roman"/>
        </w:rPr>
        <w:t xml:space="preserve">hen a claim depends on the mental state of the defendant, </w:t>
      </w:r>
      <w:r w:rsidR="00CB2D13" w:rsidRPr="003F6B7E">
        <w:rPr>
          <w:rFonts w:ascii="Times New Roman" w:hAnsi="Times New Roman" w:cs="Times New Roman"/>
        </w:rPr>
        <w:t xml:space="preserve">such as the claim in this case that the enrollment agreement was </w:t>
      </w:r>
      <w:r w:rsidR="00EE4DC2" w:rsidRPr="003F6B7E">
        <w:rPr>
          <w:rFonts w:ascii="Times New Roman" w:hAnsi="Times New Roman" w:cs="Times New Roman"/>
        </w:rPr>
        <w:t xml:space="preserve">terminated </w:t>
      </w:r>
      <w:r w:rsidR="00CB2D13" w:rsidRPr="003F6B7E">
        <w:rPr>
          <w:rFonts w:ascii="Times New Roman" w:hAnsi="Times New Roman" w:cs="Times New Roman"/>
        </w:rPr>
        <w:t>based on a pretext</w:t>
      </w:r>
      <w:r w:rsidR="003D0FAA" w:rsidRPr="003F6B7E">
        <w:rPr>
          <w:rFonts w:ascii="Times New Roman" w:hAnsi="Times New Roman" w:cs="Times New Roman"/>
        </w:rPr>
        <w:t xml:space="preserve"> </w:t>
      </w:r>
      <w:r w:rsidR="00EE4DC2" w:rsidRPr="003F6B7E">
        <w:rPr>
          <w:rFonts w:ascii="Times New Roman" w:hAnsi="Times New Roman" w:cs="Times New Roman"/>
        </w:rPr>
        <w:t xml:space="preserve">that </w:t>
      </w:r>
      <w:r w:rsidR="003D0FAA" w:rsidRPr="003F6B7E">
        <w:rPr>
          <w:rFonts w:ascii="Times New Roman" w:hAnsi="Times New Roman" w:cs="Times New Roman"/>
        </w:rPr>
        <w:t>defendants knew to be false when the true reasons for termination were not allowed by the agreement</w:t>
      </w:r>
      <w:r w:rsidR="00CB2D13" w:rsidRPr="003F6B7E">
        <w:rPr>
          <w:rFonts w:ascii="Times New Roman" w:hAnsi="Times New Roman" w:cs="Times New Roman"/>
        </w:rPr>
        <w:t xml:space="preserve">, </w:t>
      </w:r>
      <w:r w:rsidRPr="003F6B7E">
        <w:rPr>
          <w:rFonts w:ascii="Times New Roman" w:hAnsi="Times New Roman" w:cs="Times New Roman"/>
        </w:rPr>
        <w:t>those mental states may be averred generally</w:t>
      </w:r>
      <w:r w:rsidR="00EE4DC2" w:rsidRPr="003F6B7E">
        <w:rPr>
          <w:rFonts w:ascii="Times New Roman" w:hAnsi="Times New Roman" w:cs="Times New Roman"/>
        </w:rPr>
        <w:t>. T</w:t>
      </w:r>
      <w:r w:rsidRPr="003F6B7E">
        <w:rPr>
          <w:rFonts w:ascii="Times New Roman" w:hAnsi="Times New Roman" w:cs="Times New Roman"/>
        </w:rPr>
        <w:t>he complaint does not need to allege exactly what was passing through the defendant’s mind</w:t>
      </w:r>
      <w:r w:rsidR="00553A78" w:rsidRPr="003F6B7E">
        <w:rPr>
          <w:rFonts w:ascii="Times New Roman" w:hAnsi="Times New Roman" w:cs="Times New Roman"/>
        </w:rPr>
        <w:t xml:space="preserve"> under</w:t>
      </w:r>
      <w:r w:rsidRPr="003F6B7E">
        <w:rPr>
          <w:rFonts w:ascii="Times New Roman" w:hAnsi="Times New Roman" w:cs="Times New Roman"/>
        </w:rPr>
        <w:t xml:space="preserve"> Rule 9(</w:t>
      </w:r>
      <w:r w:rsidR="00CB2D13" w:rsidRPr="003F6B7E">
        <w:rPr>
          <w:rFonts w:ascii="Times New Roman" w:hAnsi="Times New Roman" w:cs="Times New Roman"/>
        </w:rPr>
        <w:t>b</w:t>
      </w:r>
      <w:r w:rsidRPr="003F6B7E">
        <w:rPr>
          <w:rFonts w:ascii="Times New Roman" w:hAnsi="Times New Roman" w:cs="Times New Roman"/>
        </w:rPr>
        <w:t xml:space="preserve">). </w:t>
      </w:r>
      <w:r w:rsidR="00C40258" w:rsidRPr="003F6B7E">
        <w:rPr>
          <w:rFonts w:ascii="Times New Roman" w:hAnsi="Times New Roman" w:cs="Times New Roman"/>
        </w:rPr>
        <w:t xml:space="preserve">Fraud claims must meet the particularity requirements </w:t>
      </w:r>
      <w:r w:rsidR="00186B9E" w:rsidRPr="003F6B7E">
        <w:rPr>
          <w:rFonts w:ascii="Times New Roman" w:hAnsi="Times New Roman" w:cs="Times New Roman"/>
        </w:rPr>
        <w:t xml:space="preserve">of </w:t>
      </w:r>
      <w:r w:rsidR="00C40258" w:rsidRPr="003F6B7E">
        <w:rPr>
          <w:rFonts w:ascii="Times New Roman" w:hAnsi="Times New Roman" w:cs="Times New Roman"/>
        </w:rPr>
        <w:t>Rule 9(b)</w:t>
      </w:r>
      <w:r w:rsidR="00186B9E" w:rsidRPr="003F6B7E">
        <w:rPr>
          <w:rFonts w:ascii="Times New Roman" w:hAnsi="Times New Roman" w:cs="Times New Roman"/>
        </w:rPr>
        <w:t xml:space="preserve"> </w:t>
      </w:r>
      <w:r w:rsidR="000B0D31" w:rsidRPr="003F6B7E">
        <w:rPr>
          <w:rFonts w:ascii="Times New Roman" w:hAnsi="Times New Roman" w:cs="Times New Roman"/>
        </w:rPr>
        <w:t>“</w:t>
      </w:r>
      <w:r w:rsidR="00186B9E" w:rsidRPr="003F6B7E">
        <w:rPr>
          <w:rFonts w:ascii="Times New Roman" w:hAnsi="Times New Roman" w:cs="Times New Roman"/>
        </w:rPr>
        <w:t xml:space="preserve">by alleging the time, place, and content </w:t>
      </w:r>
      <w:r w:rsidR="009A2287" w:rsidRPr="003F6B7E">
        <w:rPr>
          <w:rFonts w:ascii="Times New Roman" w:hAnsi="Times New Roman" w:cs="Times New Roman"/>
        </w:rPr>
        <w:t xml:space="preserve">of the fraudulent representation, identity of the person making the representation and what was obtained as a result </w:t>
      </w:r>
      <w:r w:rsidR="009A2287" w:rsidRPr="003F6B7E">
        <w:rPr>
          <w:rFonts w:ascii="Times New Roman" w:hAnsi="Times New Roman" w:cs="Times New Roman"/>
        </w:rPr>
        <w:lastRenderedPageBreak/>
        <w:t>of the fraudulent acts or representations.</w:t>
      </w:r>
      <w:r w:rsidR="000B0D31" w:rsidRPr="003F6B7E">
        <w:rPr>
          <w:rFonts w:ascii="Times New Roman" w:hAnsi="Times New Roman" w:cs="Times New Roman"/>
        </w:rPr>
        <w:t>”</w:t>
      </w:r>
      <w:r w:rsidR="009A2287" w:rsidRPr="003F6B7E">
        <w:rPr>
          <w:rFonts w:ascii="Times New Roman" w:hAnsi="Times New Roman" w:cs="Times New Roman"/>
        </w:rPr>
        <w:t xml:space="preserve"> Slip op. at 18 (cleaned up).</w:t>
      </w:r>
      <w:r w:rsidR="00D452AF" w:rsidRPr="003F6B7E">
        <w:rPr>
          <w:rFonts w:ascii="Times New Roman" w:hAnsi="Times New Roman" w:cs="Times New Roman"/>
        </w:rPr>
        <w:t xml:space="preserve"> </w:t>
      </w:r>
      <w:r w:rsidR="00DC2068" w:rsidRPr="003F6B7E">
        <w:rPr>
          <w:rFonts w:ascii="Times New Roman" w:hAnsi="Times New Roman" w:cs="Times New Roman"/>
        </w:rPr>
        <w:t>W</w:t>
      </w:r>
      <w:r w:rsidR="00D471AD" w:rsidRPr="003F6B7E">
        <w:rPr>
          <w:rFonts w:ascii="Times New Roman" w:hAnsi="Times New Roman" w:cs="Times New Roman"/>
        </w:rPr>
        <w:t xml:space="preserve">hile allegations of fraud form the basis of a claim for unfair and deceptive trade practices, a breach of contract claim </w:t>
      </w:r>
      <w:r w:rsidR="00553A78" w:rsidRPr="003F6B7E">
        <w:rPr>
          <w:rFonts w:ascii="Times New Roman" w:hAnsi="Times New Roman" w:cs="Times New Roman"/>
        </w:rPr>
        <w:t xml:space="preserve">on its own </w:t>
      </w:r>
      <w:r w:rsidR="00D471AD" w:rsidRPr="003F6B7E">
        <w:rPr>
          <w:rFonts w:ascii="Times New Roman" w:hAnsi="Times New Roman" w:cs="Times New Roman"/>
        </w:rPr>
        <w:t xml:space="preserve">without substantial aggravating circumstances will not form the basis of a claim for fraud. </w:t>
      </w:r>
      <w:r w:rsidR="00D452AF" w:rsidRPr="003F6B7E">
        <w:rPr>
          <w:rFonts w:ascii="Times New Roman" w:hAnsi="Times New Roman" w:cs="Times New Roman"/>
        </w:rPr>
        <w:t>The NCSC cautioned against courts turning the notice pleading standard “on its head</w:t>
      </w:r>
      <w:r w:rsidR="00104AD4" w:rsidRPr="003F6B7E">
        <w:rPr>
          <w:rFonts w:ascii="Times New Roman" w:hAnsi="Times New Roman" w:cs="Times New Roman"/>
        </w:rPr>
        <w:t>[,]</w:t>
      </w:r>
      <w:r w:rsidR="00D452AF" w:rsidRPr="003F6B7E">
        <w:rPr>
          <w:rFonts w:ascii="Times New Roman" w:hAnsi="Times New Roman" w:cs="Times New Roman"/>
        </w:rPr>
        <w:t>”</w:t>
      </w:r>
      <w:r w:rsidR="00104AD4" w:rsidRPr="003F6B7E">
        <w:rPr>
          <w:rFonts w:ascii="Times New Roman" w:hAnsi="Times New Roman" w:cs="Times New Roman"/>
        </w:rPr>
        <w:t xml:space="preserve"> slip op. at 20, </w:t>
      </w:r>
      <w:r w:rsidR="00D42628" w:rsidRPr="003F6B7E">
        <w:rPr>
          <w:rFonts w:ascii="Times New Roman" w:hAnsi="Times New Roman" w:cs="Times New Roman"/>
        </w:rPr>
        <w:t>by viewing allegations in a light less favorable to the plaintiff</w:t>
      </w:r>
      <w:r w:rsidR="009779BF" w:rsidRPr="003F6B7E">
        <w:rPr>
          <w:rFonts w:ascii="Times New Roman" w:hAnsi="Times New Roman" w:cs="Times New Roman"/>
        </w:rPr>
        <w:t xml:space="preserve"> when the allegations are conceivable yet not plausible</w:t>
      </w:r>
      <w:r w:rsidR="00BF4C81" w:rsidRPr="003F6B7E">
        <w:rPr>
          <w:rFonts w:ascii="Times New Roman" w:hAnsi="Times New Roman" w:cs="Times New Roman"/>
        </w:rPr>
        <w:t xml:space="preserve">. In this case, the NCSC considered that </w:t>
      </w:r>
      <w:r w:rsidR="00F03E35" w:rsidRPr="003F6B7E">
        <w:rPr>
          <w:rFonts w:ascii="Times New Roman" w:hAnsi="Times New Roman" w:cs="Times New Roman"/>
        </w:rPr>
        <w:t>the plaintiffs allege</w:t>
      </w:r>
      <w:r w:rsidR="00BF4C81" w:rsidRPr="003F6B7E">
        <w:rPr>
          <w:rFonts w:ascii="Times New Roman" w:hAnsi="Times New Roman" w:cs="Times New Roman"/>
        </w:rPr>
        <w:t>d</w:t>
      </w:r>
      <w:r w:rsidR="00F03E35" w:rsidRPr="003F6B7E">
        <w:rPr>
          <w:rFonts w:ascii="Times New Roman" w:hAnsi="Times New Roman" w:cs="Times New Roman"/>
        </w:rPr>
        <w:t xml:space="preserve"> that defendant</w:t>
      </w:r>
      <w:r w:rsidR="00C2136D" w:rsidRPr="003F6B7E">
        <w:rPr>
          <w:rFonts w:ascii="Times New Roman" w:hAnsi="Times New Roman" w:cs="Times New Roman"/>
        </w:rPr>
        <w:t>s</w:t>
      </w:r>
      <w:r w:rsidR="00F03E35" w:rsidRPr="003F6B7E">
        <w:rPr>
          <w:rFonts w:ascii="Times New Roman" w:hAnsi="Times New Roman" w:cs="Times New Roman"/>
        </w:rPr>
        <w:t xml:space="preserve"> </w:t>
      </w:r>
      <w:r w:rsidR="00DB03CB" w:rsidRPr="003F6B7E">
        <w:rPr>
          <w:rFonts w:ascii="Times New Roman" w:hAnsi="Times New Roman" w:cs="Times New Roman"/>
        </w:rPr>
        <w:t>terminated a contract for an impermissible reason and cannot yet identify the impermissible reason</w:t>
      </w:r>
      <w:r w:rsidR="00C2136D" w:rsidRPr="003F6B7E">
        <w:rPr>
          <w:rFonts w:ascii="Times New Roman" w:hAnsi="Times New Roman" w:cs="Times New Roman"/>
        </w:rPr>
        <w:t>—such a complaint survives a Rule 12(b)(6) motion to dismiss in North Carolina</w:t>
      </w:r>
      <w:r w:rsidR="00D42628" w:rsidRPr="003F6B7E">
        <w:rPr>
          <w:rFonts w:ascii="Times New Roman" w:hAnsi="Times New Roman" w:cs="Times New Roman"/>
        </w:rPr>
        <w:t>.</w:t>
      </w:r>
      <w:r w:rsidR="004A6F65" w:rsidRPr="003F6B7E">
        <w:rPr>
          <w:rFonts w:ascii="Times New Roman" w:hAnsi="Times New Roman" w:cs="Times New Roman"/>
        </w:rPr>
        <w:t xml:space="preserve"> </w:t>
      </w:r>
      <w:r w:rsidR="00AC7B11" w:rsidRPr="003F6B7E">
        <w:rPr>
          <w:rFonts w:ascii="Times New Roman" w:hAnsi="Times New Roman" w:cs="Times New Roman"/>
        </w:rPr>
        <w:t>Extrinsic facts need to prove a claim for defamation per quod do not need to be pleaded in the complaint; Rule 9(i) r</w:t>
      </w:r>
      <w:r w:rsidR="00B41FA2" w:rsidRPr="003F6B7E">
        <w:rPr>
          <w:rFonts w:ascii="Times New Roman" w:hAnsi="Times New Roman" w:cs="Times New Roman"/>
        </w:rPr>
        <w:t xml:space="preserve">equires only that the plaintiff allege the defamatory statement was published or spoken. </w:t>
      </w:r>
    </w:p>
    <w:p w14:paraId="41A0DFBE" w14:textId="77777777" w:rsidR="004A6F65" w:rsidRPr="003F6B7E" w:rsidRDefault="004A6F65" w:rsidP="00F05A2C">
      <w:pPr>
        <w:rPr>
          <w:rFonts w:ascii="Times New Roman" w:hAnsi="Times New Roman" w:cs="Times New Roman"/>
        </w:rPr>
      </w:pPr>
    </w:p>
    <w:p w14:paraId="17C5CF22" w14:textId="67E645F7" w:rsidR="005A4322" w:rsidRPr="003F6B7E" w:rsidRDefault="00D42628" w:rsidP="00F05A2C">
      <w:pPr>
        <w:rPr>
          <w:rFonts w:ascii="Times New Roman" w:hAnsi="Times New Roman" w:cs="Times New Roman"/>
        </w:rPr>
      </w:pPr>
      <w:r w:rsidRPr="003F6B7E">
        <w:rPr>
          <w:rFonts w:ascii="Times New Roman" w:hAnsi="Times New Roman" w:cs="Times New Roman"/>
        </w:rPr>
        <w:t xml:space="preserve">Under notice pleading, </w:t>
      </w:r>
      <w:r w:rsidR="00450BD1" w:rsidRPr="003F6B7E">
        <w:rPr>
          <w:rFonts w:ascii="Times New Roman" w:hAnsi="Times New Roman" w:cs="Times New Roman"/>
        </w:rPr>
        <w:t xml:space="preserve">a trial court must view </w:t>
      </w:r>
      <w:r w:rsidRPr="003F6B7E">
        <w:rPr>
          <w:rFonts w:ascii="Times New Roman" w:hAnsi="Times New Roman" w:cs="Times New Roman"/>
        </w:rPr>
        <w:t>factual allegations in the complaint in the light most favorable to the plaintiff</w:t>
      </w:r>
      <w:r w:rsidR="00D452AF" w:rsidRPr="003F6B7E">
        <w:rPr>
          <w:rFonts w:ascii="Times New Roman" w:hAnsi="Times New Roman" w:cs="Times New Roman"/>
        </w:rPr>
        <w:t xml:space="preserve"> </w:t>
      </w:r>
      <w:r w:rsidR="00450BD1" w:rsidRPr="003F6B7E">
        <w:rPr>
          <w:rFonts w:ascii="Times New Roman" w:hAnsi="Times New Roman" w:cs="Times New Roman"/>
        </w:rPr>
        <w:t xml:space="preserve">and must draw all reasonable inferences in the plaintiffs’ favor. </w:t>
      </w:r>
      <w:r w:rsidR="00EE6B0E" w:rsidRPr="003F6B7E">
        <w:rPr>
          <w:rFonts w:ascii="Times New Roman" w:hAnsi="Times New Roman" w:cs="Times New Roman"/>
        </w:rPr>
        <w:t xml:space="preserve">In federal court, the standard </w:t>
      </w:r>
      <w:r w:rsidR="00E24044" w:rsidRPr="003F6B7E">
        <w:rPr>
          <w:rFonts w:ascii="Times New Roman" w:hAnsi="Times New Roman" w:cs="Times New Roman"/>
        </w:rPr>
        <w:t xml:space="preserve">requires a claim </w:t>
      </w:r>
      <w:r w:rsidR="004177CE" w:rsidRPr="003F6B7E">
        <w:rPr>
          <w:rFonts w:ascii="Times New Roman" w:hAnsi="Times New Roman" w:cs="Times New Roman"/>
        </w:rPr>
        <w:t xml:space="preserve">to be </w:t>
      </w:r>
      <w:r w:rsidR="00E24044" w:rsidRPr="003F6B7E">
        <w:rPr>
          <w:rFonts w:ascii="Times New Roman" w:hAnsi="Times New Roman" w:cs="Times New Roman"/>
        </w:rPr>
        <w:t xml:space="preserve">plausible on its face </w:t>
      </w:r>
      <w:r w:rsidR="00EE6B0E" w:rsidRPr="003F6B7E">
        <w:rPr>
          <w:rFonts w:ascii="Times New Roman" w:hAnsi="Times New Roman" w:cs="Times New Roman"/>
        </w:rPr>
        <w:t xml:space="preserve">after the decisions in </w:t>
      </w:r>
      <w:r w:rsidR="00EE6B0E" w:rsidRPr="003F6B7E">
        <w:rPr>
          <w:rFonts w:ascii="Times New Roman" w:hAnsi="Times New Roman" w:cs="Times New Roman"/>
          <w:i/>
          <w:iCs/>
        </w:rPr>
        <w:t>Bell Atl. Corp. v. Twombly</w:t>
      </w:r>
      <w:r w:rsidR="00EE6B0E" w:rsidRPr="003F6B7E">
        <w:rPr>
          <w:rFonts w:ascii="Times New Roman" w:hAnsi="Times New Roman" w:cs="Times New Roman"/>
        </w:rPr>
        <w:t xml:space="preserve">, 550 U.S. 544 (2007) and </w:t>
      </w:r>
      <w:r w:rsidR="00EE6B0E" w:rsidRPr="003F6B7E">
        <w:rPr>
          <w:rFonts w:ascii="Times New Roman" w:hAnsi="Times New Roman" w:cs="Times New Roman"/>
          <w:i/>
          <w:iCs/>
        </w:rPr>
        <w:t>Ashcroft v. Iqbal</w:t>
      </w:r>
      <w:r w:rsidR="00EE6B0E" w:rsidRPr="003F6B7E">
        <w:rPr>
          <w:rFonts w:ascii="Times New Roman" w:hAnsi="Times New Roman" w:cs="Times New Roman"/>
        </w:rPr>
        <w:t xml:space="preserve">, 556 U.S. 662 (2009). </w:t>
      </w:r>
      <w:r w:rsidR="00E24044" w:rsidRPr="003F6B7E">
        <w:rPr>
          <w:rFonts w:ascii="Times New Roman" w:hAnsi="Times New Roman" w:cs="Times New Roman"/>
        </w:rPr>
        <w:t xml:space="preserve">The claims in </w:t>
      </w:r>
      <w:r w:rsidR="00E24044" w:rsidRPr="003F6B7E">
        <w:rPr>
          <w:rFonts w:ascii="Times New Roman" w:hAnsi="Times New Roman" w:cs="Times New Roman"/>
          <w:i/>
          <w:iCs/>
        </w:rPr>
        <w:t>Turpin</w:t>
      </w:r>
      <w:r w:rsidR="00E24044" w:rsidRPr="003F6B7E">
        <w:rPr>
          <w:rFonts w:ascii="Times New Roman" w:hAnsi="Times New Roman" w:cs="Times New Roman"/>
        </w:rPr>
        <w:t xml:space="preserve"> may very well have been dismissed in federal court</w:t>
      </w:r>
      <w:r w:rsidR="004177CE" w:rsidRPr="003F6B7E">
        <w:rPr>
          <w:rFonts w:ascii="Times New Roman" w:hAnsi="Times New Roman" w:cs="Times New Roman"/>
        </w:rPr>
        <w:t>,</w:t>
      </w:r>
      <w:r w:rsidR="00BF6B6A" w:rsidRPr="003F6B7E">
        <w:rPr>
          <w:rFonts w:ascii="Times New Roman" w:hAnsi="Times New Roman" w:cs="Times New Roman"/>
        </w:rPr>
        <w:t xml:space="preserve"> notes the NCSC.</w:t>
      </w:r>
    </w:p>
    <w:p w14:paraId="7573CE39" w14:textId="77777777" w:rsidR="00DC2068" w:rsidRPr="003F6B7E" w:rsidRDefault="00DC2068" w:rsidP="00DC2068">
      <w:pPr>
        <w:rPr>
          <w:rFonts w:ascii="Times New Roman" w:hAnsi="Times New Roman" w:cs="Times New Roman"/>
        </w:rPr>
      </w:pPr>
    </w:p>
    <w:p w14:paraId="0982DDC8" w14:textId="72ABF655" w:rsidR="008D127E" w:rsidRPr="003F6B7E" w:rsidRDefault="00E37134" w:rsidP="00306C04">
      <w:pPr>
        <w:rPr>
          <w:rFonts w:ascii="Times New Roman" w:hAnsi="Times New Roman" w:cs="Times New Roman"/>
        </w:rPr>
      </w:pPr>
      <w:r w:rsidRPr="003F6B7E">
        <w:rPr>
          <w:rFonts w:ascii="Times New Roman" w:hAnsi="Times New Roman" w:cs="Times New Roman"/>
        </w:rPr>
        <w:t xml:space="preserve">Justice Riggs, joined </w:t>
      </w:r>
      <w:r w:rsidR="005A4322" w:rsidRPr="003F6B7E">
        <w:rPr>
          <w:rFonts w:ascii="Times New Roman" w:hAnsi="Times New Roman" w:cs="Times New Roman"/>
        </w:rPr>
        <w:t>by Justice Earls</w:t>
      </w:r>
      <w:r w:rsidR="00341DB2" w:rsidRPr="003F6B7E">
        <w:rPr>
          <w:rFonts w:ascii="Times New Roman" w:hAnsi="Times New Roman" w:cs="Times New Roman"/>
        </w:rPr>
        <w:t>,</w:t>
      </w:r>
      <w:r w:rsidR="005A4322" w:rsidRPr="003F6B7E">
        <w:rPr>
          <w:rFonts w:ascii="Times New Roman" w:hAnsi="Times New Roman" w:cs="Times New Roman"/>
        </w:rPr>
        <w:t xml:space="preserve"> dissented.</w:t>
      </w:r>
      <w:r w:rsidR="00140050" w:rsidRPr="003F6B7E">
        <w:rPr>
          <w:rFonts w:ascii="Times New Roman" w:hAnsi="Times New Roman" w:cs="Times New Roman"/>
        </w:rPr>
        <w:t xml:space="preserve"> The dissenters would have affirmed the dismissal of the Plaintiffs’ fraud and breach of contract claims for failure to identify an impermissible reason for terminating the enrollment agreement and expelling the students.</w:t>
      </w:r>
      <w:r w:rsidR="00A20723" w:rsidRPr="003F6B7E">
        <w:rPr>
          <w:rFonts w:ascii="Times New Roman" w:hAnsi="Times New Roman" w:cs="Times New Roman"/>
        </w:rPr>
        <w:t xml:space="preserve"> </w:t>
      </w:r>
      <w:r w:rsidR="00997EC6" w:rsidRPr="003F6B7E">
        <w:rPr>
          <w:rFonts w:ascii="Times New Roman" w:hAnsi="Times New Roman" w:cs="Times New Roman"/>
        </w:rPr>
        <w:t xml:space="preserve">Given that the enrollment agreement allowed the </w:t>
      </w:r>
      <w:r w:rsidR="00FB26A5" w:rsidRPr="003F6B7E">
        <w:rPr>
          <w:rFonts w:ascii="Times New Roman" w:hAnsi="Times New Roman" w:cs="Times New Roman"/>
        </w:rPr>
        <w:t xml:space="preserve">school the right to terminate even under a pretext, the allegation of a pretext by </w:t>
      </w:r>
      <w:r w:rsidR="005F60AE" w:rsidRPr="003F6B7E">
        <w:rPr>
          <w:rFonts w:ascii="Times New Roman" w:hAnsi="Times New Roman" w:cs="Times New Roman"/>
        </w:rPr>
        <w:t>p</w:t>
      </w:r>
      <w:r w:rsidR="00FB26A5" w:rsidRPr="003F6B7E">
        <w:rPr>
          <w:rFonts w:ascii="Times New Roman" w:hAnsi="Times New Roman" w:cs="Times New Roman"/>
        </w:rPr>
        <w:t xml:space="preserve">laintiffs would not enable the complaint to survive a motion to </w:t>
      </w:r>
      <w:r w:rsidR="00FB26A5" w:rsidRPr="003F6B7E">
        <w:rPr>
          <w:rFonts w:ascii="Times New Roman" w:hAnsi="Times New Roman" w:cs="Times New Roman"/>
        </w:rPr>
        <w:lastRenderedPageBreak/>
        <w:t>dismiss.</w:t>
      </w:r>
      <w:r w:rsidR="00FF45CB" w:rsidRPr="003F6B7E">
        <w:rPr>
          <w:rFonts w:ascii="Times New Roman" w:hAnsi="Times New Roman" w:cs="Times New Roman"/>
        </w:rPr>
        <w:t xml:space="preserve"> The dissenters would also have affirmed the dismissal of the </w:t>
      </w:r>
      <w:r w:rsidR="00A95DA7" w:rsidRPr="003F6B7E">
        <w:rPr>
          <w:rFonts w:ascii="Times New Roman" w:hAnsi="Times New Roman" w:cs="Times New Roman"/>
        </w:rPr>
        <w:t xml:space="preserve">defamation claim because </w:t>
      </w:r>
      <w:r w:rsidR="005F60AE" w:rsidRPr="003F6B7E">
        <w:rPr>
          <w:rFonts w:ascii="Times New Roman" w:hAnsi="Times New Roman" w:cs="Times New Roman"/>
        </w:rPr>
        <w:t>d</w:t>
      </w:r>
      <w:r w:rsidR="008159B5" w:rsidRPr="003F6B7E">
        <w:rPr>
          <w:rFonts w:ascii="Times New Roman" w:hAnsi="Times New Roman" w:cs="Times New Roman"/>
        </w:rPr>
        <w:t xml:space="preserve">efendants’ </w:t>
      </w:r>
      <w:r w:rsidR="00A95DA7" w:rsidRPr="003F6B7E">
        <w:rPr>
          <w:rFonts w:ascii="Times New Roman" w:hAnsi="Times New Roman" w:cs="Times New Roman"/>
        </w:rPr>
        <w:t xml:space="preserve">characterization of the </w:t>
      </w:r>
      <w:r w:rsidR="005F60AE" w:rsidRPr="003F6B7E">
        <w:rPr>
          <w:rFonts w:ascii="Times New Roman" w:hAnsi="Times New Roman" w:cs="Times New Roman"/>
        </w:rPr>
        <w:t>p</w:t>
      </w:r>
      <w:r w:rsidR="00A95DA7" w:rsidRPr="003F6B7E">
        <w:rPr>
          <w:rFonts w:ascii="Times New Roman" w:hAnsi="Times New Roman" w:cs="Times New Roman"/>
        </w:rPr>
        <w:t xml:space="preserve">laintiffs’ statements as racist was </w:t>
      </w:r>
      <w:r w:rsidR="007F6D0F" w:rsidRPr="003F6B7E">
        <w:rPr>
          <w:rFonts w:ascii="Times New Roman" w:hAnsi="Times New Roman" w:cs="Times New Roman"/>
        </w:rPr>
        <w:t>a subjective opinion and protected speech.</w:t>
      </w:r>
    </w:p>
    <w:p w14:paraId="1B5F6C89" w14:textId="77777777" w:rsidR="00BA0042" w:rsidRPr="003F6B7E" w:rsidRDefault="00BA0042" w:rsidP="00306C04">
      <w:pPr>
        <w:rPr>
          <w:rFonts w:ascii="Times New Roman" w:hAnsi="Times New Roman" w:cs="Times New Roman"/>
        </w:rPr>
      </w:pPr>
    </w:p>
    <w:p w14:paraId="0B38CD55" w14:textId="0EBCEF0F" w:rsidR="009675BE" w:rsidRPr="003F6B7E" w:rsidRDefault="009675BE" w:rsidP="007F36B9">
      <w:pPr>
        <w:spacing w:line="240" w:lineRule="auto"/>
        <w:rPr>
          <w:rFonts w:ascii="Times New Roman" w:hAnsi="Times New Roman" w:cs="Times New Roman"/>
          <w:b/>
          <w:bCs/>
        </w:rPr>
      </w:pPr>
      <w:r w:rsidRPr="003F6B7E">
        <w:rPr>
          <w:rFonts w:ascii="Times New Roman" w:hAnsi="Times New Roman" w:cs="Times New Roman"/>
          <w:b/>
          <w:bCs/>
        </w:rPr>
        <w:t xml:space="preserve">No error </w:t>
      </w:r>
      <w:r w:rsidR="007F36B9" w:rsidRPr="003F6B7E">
        <w:rPr>
          <w:rFonts w:ascii="Times New Roman" w:hAnsi="Times New Roman" w:cs="Times New Roman"/>
          <w:b/>
          <w:bCs/>
        </w:rPr>
        <w:t xml:space="preserve">when </w:t>
      </w:r>
      <w:r w:rsidRPr="003F6B7E">
        <w:rPr>
          <w:rFonts w:ascii="Times New Roman" w:hAnsi="Times New Roman" w:cs="Times New Roman"/>
          <w:b/>
          <w:bCs/>
        </w:rPr>
        <w:t>trial court raised potential Rule 11 violations on its own motion</w:t>
      </w:r>
      <w:r w:rsidR="00475D16" w:rsidRPr="003F6B7E">
        <w:rPr>
          <w:rFonts w:ascii="Times New Roman" w:hAnsi="Times New Roman" w:cs="Times New Roman"/>
          <w:b/>
          <w:bCs/>
        </w:rPr>
        <w:t xml:space="preserve">; no error when trial court imposed </w:t>
      </w:r>
      <w:r w:rsidR="00AF7B76" w:rsidRPr="003F6B7E">
        <w:rPr>
          <w:rFonts w:ascii="Times New Roman" w:hAnsi="Times New Roman" w:cs="Times New Roman"/>
          <w:b/>
          <w:bCs/>
        </w:rPr>
        <w:t>Rule 11 s</w:t>
      </w:r>
      <w:r w:rsidR="00475D16" w:rsidRPr="003F6B7E">
        <w:rPr>
          <w:rFonts w:ascii="Times New Roman" w:hAnsi="Times New Roman" w:cs="Times New Roman"/>
          <w:b/>
          <w:bCs/>
        </w:rPr>
        <w:t xml:space="preserve">anctions against plaintiff and plaintiff’s counsel </w:t>
      </w:r>
      <w:r w:rsidR="00174AE8" w:rsidRPr="003F6B7E">
        <w:rPr>
          <w:rFonts w:ascii="Times New Roman" w:hAnsi="Times New Roman" w:cs="Times New Roman"/>
          <w:b/>
          <w:bCs/>
        </w:rPr>
        <w:t xml:space="preserve">after </w:t>
      </w:r>
      <w:r w:rsidR="002219C7" w:rsidRPr="003F6B7E">
        <w:rPr>
          <w:rFonts w:ascii="Times New Roman" w:hAnsi="Times New Roman" w:cs="Times New Roman"/>
          <w:b/>
          <w:bCs/>
        </w:rPr>
        <w:t xml:space="preserve">finding the </w:t>
      </w:r>
      <w:r w:rsidR="00B63E7B" w:rsidRPr="003F6B7E">
        <w:rPr>
          <w:rFonts w:ascii="Times New Roman" w:hAnsi="Times New Roman" w:cs="Times New Roman"/>
          <w:b/>
          <w:bCs/>
        </w:rPr>
        <w:t>complaint contained a block-quote that used different language than its source,</w:t>
      </w:r>
      <w:r w:rsidR="002219C7" w:rsidRPr="003F6B7E">
        <w:rPr>
          <w:rFonts w:ascii="Times New Roman" w:hAnsi="Times New Roman" w:cs="Times New Roman"/>
          <w:b/>
          <w:bCs/>
        </w:rPr>
        <w:t xml:space="preserve"> </w:t>
      </w:r>
      <w:r w:rsidR="00B63E7B" w:rsidRPr="003F6B7E">
        <w:rPr>
          <w:rFonts w:ascii="Times New Roman" w:hAnsi="Times New Roman" w:cs="Times New Roman"/>
          <w:b/>
          <w:bCs/>
        </w:rPr>
        <w:t>the contract</w:t>
      </w:r>
      <w:r w:rsidR="002219C7" w:rsidRPr="003F6B7E">
        <w:rPr>
          <w:rFonts w:ascii="Times New Roman" w:hAnsi="Times New Roman" w:cs="Times New Roman"/>
          <w:b/>
          <w:bCs/>
        </w:rPr>
        <w:t xml:space="preserve">, and </w:t>
      </w:r>
      <w:r w:rsidR="00B63E7B" w:rsidRPr="003F6B7E">
        <w:rPr>
          <w:rFonts w:ascii="Times New Roman" w:hAnsi="Times New Roman" w:cs="Times New Roman"/>
          <w:b/>
          <w:bCs/>
        </w:rPr>
        <w:t xml:space="preserve">concluding </w:t>
      </w:r>
      <w:r w:rsidR="00174AE8" w:rsidRPr="003F6B7E">
        <w:rPr>
          <w:rFonts w:ascii="Times New Roman" w:hAnsi="Times New Roman" w:cs="Times New Roman"/>
          <w:b/>
          <w:bCs/>
        </w:rPr>
        <w:t>t</w:t>
      </w:r>
      <w:r w:rsidR="00C063D3" w:rsidRPr="003F6B7E">
        <w:rPr>
          <w:rFonts w:ascii="Times New Roman" w:hAnsi="Times New Roman" w:cs="Times New Roman"/>
          <w:b/>
          <w:bCs/>
        </w:rPr>
        <w:t>he complaint materially misrepresented the contract</w:t>
      </w:r>
      <w:r w:rsidR="00B63E7B" w:rsidRPr="003F6B7E">
        <w:rPr>
          <w:rFonts w:ascii="Times New Roman" w:hAnsi="Times New Roman" w:cs="Times New Roman"/>
          <w:b/>
          <w:bCs/>
        </w:rPr>
        <w:t>.</w:t>
      </w:r>
    </w:p>
    <w:p w14:paraId="7702C2D4" w14:textId="77777777" w:rsidR="00DE5059" w:rsidRPr="003F6B7E" w:rsidRDefault="00DE5059" w:rsidP="007F36B9">
      <w:pPr>
        <w:spacing w:line="240" w:lineRule="auto"/>
        <w:rPr>
          <w:rFonts w:ascii="Times New Roman" w:hAnsi="Times New Roman" w:cs="Times New Roman"/>
          <w:b/>
          <w:bCs/>
        </w:rPr>
      </w:pPr>
    </w:p>
    <w:p w14:paraId="6F530768" w14:textId="77777777" w:rsidR="007F36B9" w:rsidRPr="003F6B7E" w:rsidRDefault="007F36B9" w:rsidP="007F36B9">
      <w:pPr>
        <w:spacing w:line="240" w:lineRule="auto"/>
        <w:rPr>
          <w:rFonts w:ascii="Times New Roman" w:hAnsi="Times New Roman" w:cs="Times New Roman"/>
          <w:b/>
          <w:bCs/>
        </w:rPr>
      </w:pPr>
    </w:p>
    <w:p w14:paraId="6F6161AC" w14:textId="56CA8E17" w:rsidR="002B79C9" w:rsidRPr="003F6B7E" w:rsidRDefault="000D1083" w:rsidP="002B79C9">
      <w:pPr>
        <w:pStyle w:val="Heading2"/>
        <w:rPr>
          <w:rFonts w:ascii="Times New Roman" w:hAnsi="Times New Roman" w:cs="Times New Roman"/>
        </w:rPr>
      </w:pPr>
      <w:bookmarkStart w:id="5" w:name="_Toc242276212"/>
      <w:r w:rsidRPr="003F6B7E">
        <w:rPr>
          <w:rFonts w:ascii="Times New Roman" w:hAnsi="Times New Roman" w:cs="Times New Roman"/>
        </w:rPr>
        <w:t>Rule 11</w:t>
      </w:r>
      <w:bookmarkEnd w:id="5"/>
    </w:p>
    <w:p w14:paraId="5233A919" w14:textId="5D5D0DF8" w:rsidR="00A81CFE" w:rsidRPr="003F6B7E" w:rsidRDefault="000D1083" w:rsidP="00306C04">
      <w:pPr>
        <w:rPr>
          <w:rFonts w:ascii="Times New Roman" w:hAnsi="Times New Roman" w:cs="Times New Roman"/>
        </w:rPr>
      </w:pPr>
      <w:hyperlink r:id="rId13" w:history="1">
        <w:r w:rsidRPr="003F6B7E">
          <w:rPr>
            <w:rStyle w:val="Hyperlink"/>
            <w:rFonts w:ascii="Times New Roman" w:hAnsi="Times New Roman" w:cs="Times New Roman"/>
          </w:rPr>
          <w:t>Limage v. Covington &amp; Shaw, LLC</w:t>
        </w:r>
      </w:hyperlink>
      <w:r w:rsidRPr="003F6B7E">
        <w:rPr>
          <w:rFonts w:ascii="Times New Roman" w:hAnsi="Times New Roman" w:cs="Times New Roman"/>
        </w:rPr>
        <w:t xml:space="preserve">, COA25-1074 (N.C. Ct. App. Aug. 5, 2026) </w:t>
      </w:r>
      <w:r w:rsidR="00977006" w:rsidRPr="003F6B7E">
        <w:rPr>
          <w:rFonts w:ascii="Times New Roman" w:hAnsi="Times New Roman" w:cs="Times New Roman"/>
        </w:rPr>
        <w:t xml:space="preserve">(Sampson) </w:t>
      </w:r>
      <w:r w:rsidRPr="003F6B7E">
        <w:rPr>
          <w:rFonts w:ascii="Times New Roman" w:hAnsi="Times New Roman" w:cs="Times New Roman"/>
        </w:rPr>
        <w:t>(Stroud)</w:t>
      </w:r>
      <w:r w:rsidR="00977006" w:rsidRPr="003F6B7E">
        <w:rPr>
          <w:rFonts w:ascii="Times New Roman" w:hAnsi="Times New Roman" w:cs="Times New Roman"/>
        </w:rPr>
        <w:t>.</w:t>
      </w:r>
      <w:r w:rsidR="00AA04BF" w:rsidRPr="003F6B7E">
        <w:rPr>
          <w:rFonts w:ascii="Times New Roman" w:hAnsi="Times New Roman" w:cs="Times New Roman"/>
        </w:rPr>
        <w:t xml:space="preserve"> </w:t>
      </w:r>
      <w:r w:rsidR="00AF6220" w:rsidRPr="003F6B7E">
        <w:rPr>
          <w:rFonts w:ascii="Times New Roman" w:hAnsi="Times New Roman" w:cs="Times New Roman"/>
        </w:rPr>
        <w:t xml:space="preserve">Action </w:t>
      </w:r>
      <w:r w:rsidR="000F1AAA" w:rsidRPr="003F6B7E">
        <w:rPr>
          <w:rFonts w:ascii="Times New Roman" w:hAnsi="Times New Roman" w:cs="Times New Roman"/>
        </w:rPr>
        <w:t xml:space="preserve">by plaintiff home buyer against </w:t>
      </w:r>
      <w:r w:rsidR="00AF6220" w:rsidRPr="003F6B7E">
        <w:rPr>
          <w:rFonts w:ascii="Times New Roman" w:hAnsi="Times New Roman" w:cs="Times New Roman"/>
        </w:rPr>
        <w:t>defendant</w:t>
      </w:r>
      <w:r w:rsidR="000F1AAA" w:rsidRPr="003F6B7E">
        <w:rPr>
          <w:rFonts w:ascii="Times New Roman" w:hAnsi="Times New Roman" w:cs="Times New Roman"/>
        </w:rPr>
        <w:t xml:space="preserve"> real estate developer and its member</w:t>
      </w:r>
      <w:r w:rsidR="00AA04BF" w:rsidRPr="003F6B7E">
        <w:rPr>
          <w:rFonts w:ascii="Times New Roman" w:hAnsi="Times New Roman" w:cs="Times New Roman"/>
        </w:rPr>
        <w:t>s and owners for breach of contract and UDTP</w:t>
      </w:r>
      <w:r w:rsidR="00A25049" w:rsidRPr="003F6B7E">
        <w:rPr>
          <w:rFonts w:ascii="Times New Roman" w:hAnsi="Times New Roman" w:cs="Times New Roman"/>
        </w:rPr>
        <w:t>A</w:t>
      </w:r>
      <w:r w:rsidR="00D85A59" w:rsidRPr="003F6B7E">
        <w:rPr>
          <w:rFonts w:ascii="Times New Roman" w:hAnsi="Times New Roman" w:cs="Times New Roman"/>
        </w:rPr>
        <w:t>,</w:t>
      </w:r>
      <w:r w:rsidR="00311B7C" w:rsidRPr="003F6B7E">
        <w:rPr>
          <w:rFonts w:ascii="Times New Roman" w:hAnsi="Times New Roman" w:cs="Times New Roman"/>
        </w:rPr>
        <w:t xml:space="preserve"> and for attorney’s fees</w:t>
      </w:r>
      <w:r w:rsidR="008B1F6D" w:rsidRPr="003F6B7E">
        <w:rPr>
          <w:rFonts w:ascii="Times New Roman" w:hAnsi="Times New Roman" w:cs="Times New Roman"/>
        </w:rPr>
        <w:t xml:space="preserve"> under both</w:t>
      </w:r>
      <w:r w:rsidR="00D85A59" w:rsidRPr="003F6B7E">
        <w:rPr>
          <w:rFonts w:ascii="Times New Roman" w:hAnsi="Times New Roman" w:cs="Times New Roman"/>
        </w:rPr>
        <w:t xml:space="preserve"> claims</w:t>
      </w:r>
      <w:r w:rsidR="00AA04BF" w:rsidRPr="003F6B7E">
        <w:rPr>
          <w:rFonts w:ascii="Times New Roman" w:hAnsi="Times New Roman" w:cs="Times New Roman"/>
        </w:rPr>
        <w:t>.</w:t>
      </w:r>
      <w:r w:rsidR="00C547C1" w:rsidRPr="003F6B7E">
        <w:rPr>
          <w:rFonts w:ascii="Times New Roman" w:hAnsi="Times New Roman" w:cs="Times New Roman"/>
        </w:rPr>
        <w:t xml:space="preserve"> </w:t>
      </w:r>
      <w:r w:rsidR="00F3027E" w:rsidRPr="003F6B7E">
        <w:rPr>
          <w:rFonts w:ascii="Times New Roman" w:hAnsi="Times New Roman" w:cs="Times New Roman"/>
        </w:rPr>
        <w:t xml:space="preserve">Plaintiff </w:t>
      </w:r>
      <w:r w:rsidR="00FD3E35" w:rsidRPr="003F6B7E">
        <w:rPr>
          <w:rFonts w:ascii="Times New Roman" w:hAnsi="Times New Roman" w:cs="Times New Roman"/>
        </w:rPr>
        <w:t>attached the contract to the complaint</w:t>
      </w:r>
      <w:r w:rsidR="004A1163" w:rsidRPr="003F6B7E">
        <w:rPr>
          <w:rFonts w:ascii="Times New Roman" w:hAnsi="Times New Roman" w:cs="Times New Roman"/>
        </w:rPr>
        <w:t xml:space="preserve"> but</w:t>
      </w:r>
      <w:r w:rsidR="004F1F58" w:rsidRPr="003F6B7E">
        <w:rPr>
          <w:rFonts w:ascii="Times New Roman" w:hAnsi="Times New Roman" w:cs="Times New Roman"/>
        </w:rPr>
        <w:t xml:space="preserve"> misquoted </w:t>
      </w:r>
      <w:r w:rsidR="00D85A59" w:rsidRPr="003F6B7E">
        <w:rPr>
          <w:rFonts w:ascii="Times New Roman" w:hAnsi="Times New Roman" w:cs="Times New Roman"/>
        </w:rPr>
        <w:t xml:space="preserve">it </w:t>
      </w:r>
      <w:r w:rsidR="00A534D1" w:rsidRPr="003F6B7E">
        <w:rPr>
          <w:rFonts w:ascii="Times New Roman" w:hAnsi="Times New Roman" w:cs="Times New Roman"/>
        </w:rPr>
        <w:t xml:space="preserve">and </w:t>
      </w:r>
      <w:r w:rsidR="00CA2F84" w:rsidRPr="003F6B7E">
        <w:rPr>
          <w:rFonts w:ascii="Times New Roman" w:hAnsi="Times New Roman" w:cs="Times New Roman"/>
        </w:rPr>
        <w:t xml:space="preserve">invented </w:t>
      </w:r>
      <w:r w:rsidR="00A534D1" w:rsidRPr="003F6B7E">
        <w:rPr>
          <w:rFonts w:ascii="Times New Roman" w:hAnsi="Times New Roman" w:cs="Times New Roman"/>
        </w:rPr>
        <w:t xml:space="preserve">language </w:t>
      </w:r>
      <w:r w:rsidR="005418DD" w:rsidRPr="003F6B7E">
        <w:rPr>
          <w:rFonts w:ascii="Times New Roman" w:hAnsi="Times New Roman" w:cs="Times New Roman"/>
        </w:rPr>
        <w:t xml:space="preserve">attributed </w:t>
      </w:r>
      <w:r w:rsidR="00A534D1" w:rsidRPr="003F6B7E">
        <w:rPr>
          <w:rFonts w:ascii="Times New Roman" w:hAnsi="Times New Roman" w:cs="Times New Roman"/>
        </w:rPr>
        <w:t>to the contract.</w:t>
      </w:r>
      <w:r w:rsidR="00CA2F84" w:rsidRPr="003F6B7E">
        <w:rPr>
          <w:rFonts w:ascii="Times New Roman" w:hAnsi="Times New Roman" w:cs="Times New Roman"/>
        </w:rPr>
        <w:t xml:space="preserve"> The language that appeared in the complaint but not the contract purported to entitle plaintiff to a refund of the building deposit</w:t>
      </w:r>
      <w:r w:rsidR="003F3675" w:rsidRPr="003F6B7E">
        <w:rPr>
          <w:rFonts w:ascii="Times New Roman" w:hAnsi="Times New Roman" w:cs="Times New Roman"/>
        </w:rPr>
        <w:t>, when the contract allowed for different refunds.</w:t>
      </w:r>
      <w:r w:rsidR="00A534D1" w:rsidRPr="003F6B7E">
        <w:rPr>
          <w:rFonts w:ascii="Times New Roman" w:hAnsi="Times New Roman" w:cs="Times New Roman"/>
        </w:rPr>
        <w:t xml:space="preserve"> Following discovery</w:t>
      </w:r>
      <w:r w:rsidR="008B1F6D" w:rsidRPr="003F6B7E">
        <w:rPr>
          <w:rFonts w:ascii="Times New Roman" w:hAnsi="Times New Roman" w:cs="Times New Roman"/>
        </w:rPr>
        <w:t xml:space="preserve">, </w:t>
      </w:r>
      <w:r w:rsidR="00A534D1" w:rsidRPr="003F6B7E">
        <w:rPr>
          <w:rFonts w:ascii="Times New Roman" w:hAnsi="Times New Roman" w:cs="Times New Roman"/>
        </w:rPr>
        <w:t xml:space="preserve">summary judgment motions, </w:t>
      </w:r>
      <w:r w:rsidR="008B1F6D" w:rsidRPr="003F6B7E">
        <w:rPr>
          <w:rFonts w:ascii="Times New Roman" w:hAnsi="Times New Roman" w:cs="Times New Roman"/>
        </w:rPr>
        <w:t xml:space="preserve">and the submission of an attorney fee affidavit by plaintiff’s counsel, </w:t>
      </w:r>
      <w:r w:rsidR="00A534D1" w:rsidRPr="003F6B7E">
        <w:rPr>
          <w:rFonts w:ascii="Times New Roman" w:hAnsi="Times New Roman" w:cs="Times New Roman"/>
        </w:rPr>
        <w:t xml:space="preserve">the trial court </w:t>
      </w:r>
      <w:r w:rsidR="00A854D8" w:rsidRPr="003F6B7E">
        <w:rPr>
          <w:rFonts w:ascii="Times New Roman" w:hAnsi="Times New Roman" w:cs="Times New Roman"/>
        </w:rPr>
        <w:t xml:space="preserve">ordered plaintiff and plaintiff’s counsel </w:t>
      </w:r>
      <w:r w:rsidR="002A57D7" w:rsidRPr="003F6B7E">
        <w:rPr>
          <w:rFonts w:ascii="Times New Roman" w:hAnsi="Times New Roman" w:cs="Times New Roman"/>
        </w:rPr>
        <w:t xml:space="preserve">(hereinafter “plaintiffs”) </w:t>
      </w:r>
      <w:r w:rsidR="00EE570B" w:rsidRPr="003F6B7E">
        <w:rPr>
          <w:rFonts w:ascii="Times New Roman" w:hAnsi="Times New Roman" w:cs="Times New Roman"/>
        </w:rPr>
        <w:t xml:space="preserve">to submit sworn statements regarding their </w:t>
      </w:r>
      <w:r w:rsidR="00A6577E" w:rsidRPr="003F6B7E">
        <w:rPr>
          <w:rFonts w:ascii="Times New Roman" w:hAnsi="Times New Roman" w:cs="Times New Roman"/>
        </w:rPr>
        <w:t xml:space="preserve">representations to the court and “to show </w:t>
      </w:r>
      <w:r w:rsidR="00A854D8" w:rsidRPr="003F6B7E">
        <w:rPr>
          <w:rFonts w:ascii="Times New Roman" w:hAnsi="Times New Roman" w:cs="Times New Roman"/>
        </w:rPr>
        <w:t>cause why they should not be sanctioned under Rule 11.”</w:t>
      </w:r>
      <w:r w:rsidR="004A1163" w:rsidRPr="003F6B7E">
        <w:rPr>
          <w:rFonts w:ascii="Times New Roman" w:hAnsi="Times New Roman" w:cs="Times New Roman"/>
        </w:rPr>
        <w:t xml:space="preserve"> Slip op. at 5.</w:t>
      </w:r>
      <w:r w:rsidR="00A6577E" w:rsidRPr="003F6B7E">
        <w:rPr>
          <w:rFonts w:ascii="Times New Roman" w:hAnsi="Times New Roman" w:cs="Times New Roman"/>
        </w:rPr>
        <w:t xml:space="preserve"> Plaintiff</w:t>
      </w:r>
      <w:r w:rsidR="002A57D7" w:rsidRPr="003F6B7E">
        <w:rPr>
          <w:rFonts w:ascii="Times New Roman" w:hAnsi="Times New Roman" w:cs="Times New Roman"/>
        </w:rPr>
        <w:t xml:space="preserve">s </w:t>
      </w:r>
      <w:r w:rsidR="00A6577E" w:rsidRPr="003F6B7E">
        <w:rPr>
          <w:rFonts w:ascii="Times New Roman" w:hAnsi="Times New Roman" w:cs="Times New Roman"/>
        </w:rPr>
        <w:t xml:space="preserve">submitted unsworn statements (though notarized, in the case of </w:t>
      </w:r>
      <w:r w:rsidR="002A57D7" w:rsidRPr="003F6B7E">
        <w:rPr>
          <w:rFonts w:ascii="Times New Roman" w:hAnsi="Times New Roman" w:cs="Times New Roman"/>
        </w:rPr>
        <w:t>the party</w:t>
      </w:r>
      <w:r w:rsidR="00A6577E" w:rsidRPr="003F6B7E">
        <w:rPr>
          <w:rFonts w:ascii="Times New Roman" w:hAnsi="Times New Roman" w:cs="Times New Roman"/>
        </w:rPr>
        <w:t>)</w:t>
      </w:r>
      <w:r w:rsidR="00A81200" w:rsidRPr="003F6B7E">
        <w:rPr>
          <w:rFonts w:ascii="Times New Roman" w:hAnsi="Times New Roman" w:cs="Times New Roman"/>
        </w:rPr>
        <w:t>, in which plaintiff</w:t>
      </w:r>
      <w:r w:rsidR="002A57D7" w:rsidRPr="003F6B7E">
        <w:rPr>
          <w:rFonts w:ascii="Times New Roman" w:hAnsi="Times New Roman" w:cs="Times New Roman"/>
        </w:rPr>
        <w:t>s</w:t>
      </w:r>
      <w:r w:rsidR="00A81200" w:rsidRPr="003F6B7E">
        <w:rPr>
          <w:rFonts w:ascii="Times New Roman" w:hAnsi="Times New Roman" w:cs="Times New Roman"/>
        </w:rPr>
        <w:t xml:space="preserve"> argued, among other things, that the incorporation by reference doctrine allowed the court to </w:t>
      </w:r>
      <w:r w:rsidR="00D34829" w:rsidRPr="003F6B7E">
        <w:rPr>
          <w:rFonts w:ascii="Times New Roman" w:hAnsi="Times New Roman" w:cs="Times New Roman"/>
        </w:rPr>
        <w:t>rely on the language of the contract over contradictory</w:t>
      </w:r>
      <w:r w:rsidR="00B35B84" w:rsidRPr="003F6B7E">
        <w:rPr>
          <w:rFonts w:ascii="Times New Roman" w:hAnsi="Times New Roman" w:cs="Times New Roman"/>
        </w:rPr>
        <w:t xml:space="preserve"> statements</w:t>
      </w:r>
      <w:r w:rsidR="00D34829" w:rsidRPr="003F6B7E">
        <w:rPr>
          <w:rFonts w:ascii="Times New Roman" w:hAnsi="Times New Roman" w:cs="Times New Roman"/>
        </w:rPr>
        <w:t xml:space="preserve"> in the complaint, making deception impossible.</w:t>
      </w:r>
      <w:r w:rsidR="00037338" w:rsidRPr="003F6B7E">
        <w:rPr>
          <w:rFonts w:ascii="Times New Roman" w:hAnsi="Times New Roman" w:cs="Times New Roman"/>
        </w:rPr>
        <w:t xml:space="preserve"> The trial court </w:t>
      </w:r>
      <w:r w:rsidR="003D2DDA" w:rsidRPr="003F6B7E">
        <w:rPr>
          <w:rFonts w:ascii="Times New Roman" w:hAnsi="Times New Roman" w:cs="Times New Roman"/>
        </w:rPr>
        <w:t xml:space="preserve">imposed </w:t>
      </w:r>
      <w:r w:rsidR="00037338" w:rsidRPr="003F6B7E">
        <w:rPr>
          <w:rFonts w:ascii="Times New Roman" w:hAnsi="Times New Roman" w:cs="Times New Roman"/>
        </w:rPr>
        <w:t>Rule 11 sanctions.</w:t>
      </w:r>
      <w:r w:rsidR="00EC1018" w:rsidRPr="003F6B7E">
        <w:rPr>
          <w:rFonts w:ascii="Times New Roman" w:hAnsi="Times New Roman" w:cs="Times New Roman"/>
        </w:rPr>
        <w:t xml:space="preserve"> </w:t>
      </w:r>
      <w:r w:rsidR="00893476" w:rsidRPr="003F6B7E">
        <w:rPr>
          <w:rFonts w:ascii="Times New Roman" w:hAnsi="Times New Roman" w:cs="Times New Roman"/>
        </w:rPr>
        <w:t>Plaintiff</w:t>
      </w:r>
      <w:r w:rsidR="002A57D7" w:rsidRPr="003F6B7E">
        <w:rPr>
          <w:rFonts w:ascii="Times New Roman" w:hAnsi="Times New Roman" w:cs="Times New Roman"/>
        </w:rPr>
        <w:t xml:space="preserve">s </w:t>
      </w:r>
      <w:r w:rsidR="00893476" w:rsidRPr="003F6B7E">
        <w:rPr>
          <w:rFonts w:ascii="Times New Roman" w:hAnsi="Times New Roman" w:cs="Times New Roman"/>
        </w:rPr>
        <w:t>appeal</w:t>
      </w:r>
      <w:r w:rsidR="007014B9" w:rsidRPr="003F6B7E">
        <w:rPr>
          <w:rFonts w:ascii="Times New Roman" w:hAnsi="Times New Roman" w:cs="Times New Roman"/>
        </w:rPr>
        <w:t>ed</w:t>
      </w:r>
      <w:r w:rsidR="00A81CFE" w:rsidRPr="003F6B7E">
        <w:rPr>
          <w:rFonts w:ascii="Times New Roman" w:hAnsi="Times New Roman" w:cs="Times New Roman"/>
        </w:rPr>
        <w:t xml:space="preserve">, arguing that the court </w:t>
      </w:r>
      <w:r w:rsidR="00A81CFE" w:rsidRPr="003F6B7E">
        <w:rPr>
          <w:rFonts w:ascii="Times New Roman" w:hAnsi="Times New Roman" w:cs="Times New Roman"/>
        </w:rPr>
        <w:lastRenderedPageBreak/>
        <w:t xml:space="preserve">may not impose Rule 11 sanctions on its own motion and that the </w:t>
      </w:r>
      <w:r w:rsidR="00910FB0" w:rsidRPr="003F6B7E">
        <w:rPr>
          <w:rFonts w:ascii="Times New Roman" w:hAnsi="Times New Roman" w:cs="Times New Roman"/>
        </w:rPr>
        <w:t>complaint did not misrepresent the contract</w:t>
      </w:r>
      <w:r w:rsidR="00F26745" w:rsidRPr="003F6B7E">
        <w:rPr>
          <w:rFonts w:ascii="Times New Roman" w:hAnsi="Times New Roman" w:cs="Times New Roman"/>
        </w:rPr>
        <w:t xml:space="preserve"> because the block quote was meant to be a paraphrase</w:t>
      </w:r>
      <w:r w:rsidR="00A81CFE" w:rsidRPr="003F6B7E">
        <w:rPr>
          <w:rFonts w:ascii="Times New Roman" w:hAnsi="Times New Roman" w:cs="Times New Roman"/>
        </w:rPr>
        <w:t xml:space="preserve">. </w:t>
      </w:r>
    </w:p>
    <w:p w14:paraId="2F6092C6" w14:textId="77777777" w:rsidR="00A81CFE" w:rsidRPr="003F6B7E" w:rsidRDefault="00A81CFE" w:rsidP="00306C04">
      <w:pPr>
        <w:rPr>
          <w:rFonts w:ascii="Times New Roman" w:hAnsi="Times New Roman" w:cs="Times New Roman"/>
        </w:rPr>
      </w:pPr>
    </w:p>
    <w:p w14:paraId="630FA83A" w14:textId="433A9022" w:rsidR="000D1083" w:rsidRPr="003F6B7E" w:rsidRDefault="00C22256" w:rsidP="00306C04">
      <w:pPr>
        <w:rPr>
          <w:rFonts w:ascii="Times New Roman" w:hAnsi="Times New Roman" w:cs="Times New Roman"/>
        </w:rPr>
      </w:pPr>
      <w:r w:rsidRPr="003F6B7E">
        <w:rPr>
          <w:rFonts w:ascii="Times New Roman" w:hAnsi="Times New Roman" w:cs="Times New Roman"/>
        </w:rPr>
        <w:t>The NCCOA noted that Rule 11(a) explicitly authorize</w:t>
      </w:r>
      <w:r w:rsidR="003D2DDA" w:rsidRPr="003F6B7E">
        <w:rPr>
          <w:rFonts w:ascii="Times New Roman" w:hAnsi="Times New Roman" w:cs="Times New Roman"/>
        </w:rPr>
        <w:t>s</w:t>
      </w:r>
      <w:r w:rsidRPr="003F6B7E">
        <w:rPr>
          <w:rFonts w:ascii="Times New Roman" w:hAnsi="Times New Roman" w:cs="Times New Roman"/>
        </w:rPr>
        <w:t xml:space="preserve"> the trial court to sanction attorneys for violations on its own motion and that </w:t>
      </w:r>
      <w:r w:rsidR="00587BEA" w:rsidRPr="003F6B7E">
        <w:rPr>
          <w:rFonts w:ascii="Times New Roman" w:hAnsi="Times New Roman" w:cs="Times New Roman"/>
        </w:rPr>
        <w:t xml:space="preserve">plaintiffs’ </w:t>
      </w:r>
      <w:r w:rsidR="00C21837" w:rsidRPr="003F6B7E">
        <w:rPr>
          <w:rFonts w:ascii="Times New Roman" w:hAnsi="Times New Roman" w:cs="Times New Roman"/>
        </w:rPr>
        <w:t xml:space="preserve">quotation from Rule 11 </w:t>
      </w:r>
      <w:r w:rsidR="0062137B" w:rsidRPr="003F6B7E">
        <w:rPr>
          <w:rFonts w:ascii="Times New Roman" w:hAnsi="Times New Roman" w:cs="Times New Roman"/>
        </w:rPr>
        <w:t xml:space="preserve">in </w:t>
      </w:r>
      <w:r w:rsidR="00587BEA" w:rsidRPr="003F6B7E">
        <w:rPr>
          <w:rFonts w:ascii="Times New Roman" w:hAnsi="Times New Roman" w:cs="Times New Roman"/>
        </w:rPr>
        <w:t xml:space="preserve">their </w:t>
      </w:r>
      <w:r w:rsidR="0062137B" w:rsidRPr="003F6B7E">
        <w:rPr>
          <w:rFonts w:ascii="Times New Roman" w:hAnsi="Times New Roman" w:cs="Times New Roman"/>
        </w:rPr>
        <w:t xml:space="preserve">appellate brief </w:t>
      </w:r>
      <w:r w:rsidR="00C21837" w:rsidRPr="003F6B7E">
        <w:rPr>
          <w:rFonts w:ascii="Times New Roman" w:hAnsi="Times New Roman" w:cs="Times New Roman"/>
        </w:rPr>
        <w:t xml:space="preserve">“stops one sentence short” of </w:t>
      </w:r>
      <w:r w:rsidR="006A76D8" w:rsidRPr="003F6B7E">
        <w:rPr>
          <w:rFonts w:ascii="Times New Roman" w:hAnsi="Times New Roman" w:cs="Times New Roman"/>
        </w:rPr>
        <w:t>saying so</w:t>
      </w:r>
      <w:r w:rsidR="007D0CE7" w:rsidRPr="003F6B7E">
        <w:rPr>
          <w:rFonts w:ascii="Times New Roman" w:hAnsi="Times New Roman" w:cs="Times New Roman"/>
        </w:rPr>
        <w:t>—creating a</w:t>
      </w:r>
      <w:r w:rsidR="0089699F" w:rsidRPr="003F6B7E">
        <w:rPr>
          <w:rFonts w:ascii="Times New Roman" w:hAnsi="Times New Roman" w:cs="Times New Roman"/>
        </w:rPr>
        <w:t>n issue of candor to the court of appeals as well as the trial court</w:t>
      </w:r>
      <w:r w:rsidR="00C32EE7" w:rsidRPr="003F6B7E">
        <w:rPr>
          <w:rFonts w:ascii="Times New Roman" w:hAnsi="Times New Roman" w:cs="Times New Roman"/>
        </w:rPr>
        <w:t>.</w:t>
      </w:r>
      <w:r w:rsidR="00DA2E1F" w:rsidRPr="003F6B7E">
        <w:rPr>
          <w:rFonts w:ascii="Times New Roman" w:hAnsi="Times New Roman" w:cs="Times New Roman"/>
        </w:rPr>
        <w:t xml:space="preserve"> </w:t>
      </w:r>
      <w:r w:rsidR="00752B38" w:rsidRPr="003F6B7E">
        <w:rPr>
          <w:rFonts w:ascii="Times New Roman" w:hAnsi="Times New Roman" w:cs="Times New Roman"/>
        </w:rPr>
        <w:t>When plaintiff</w:t>
      </w:r>
      <w:r w:rsidR="00587BEA" w:rsidRPr="003F6B7E">
        <w:rPr>
          <w:rFonts w:ascii="Times New Roman" w:hAnsi="Times New Roman" w:cs="Times New Roman"/>
        </w:rPr>
        <w:t>s</w:t>
      </w:r>
      <w:r w:rsidR="00752B38" w:rsidRPr="003F6B7E">
        <w:rPr>
          <w:rFonts w:ascii="Times New Roman" w:hAnsi="Times New Roman" w:cs="Times New Roman"/>
        </w:rPr>
        <w:t xml:space="preserve"> included a block-quote in the complaint, plaintiff</w:t>
      </w:r>
      <w:r w:rsidR="00587BEA" w:rsidRPr="003F6B7E">
        <w:rPr>
          <w:rFonts w:ascii="Times New Roman" w:hAnsi="Times New Roman" w:cs="Times New Roman"/>
        </w:rPr>
        <w:t>s</w:t>
      </w:r>
      <w:r w:rsidR="00752B38" w:rsidRPr="003F6B7E">
        <w:rPr>
          <w:rFonts w:ascii="Times New Roman" w:hAnsi="Times New Roman" w:cs="Times New Roman"/>
        </w:rPr>
        <w:t xml:space="preserve"> relied on a formatting convention</w:t>
      </w:r>
      <w:r w:rsidR="00E614F4" w:rsidRPr="003F6B7E">
        <w:rPr>
          <w:rFonts w:ascii="Times New Roman" w:hAnsi="Times New Roman" w:cs="Times New Roman"/>
        </w:rPr>
        <w:t xml:space="preserve"> with a specific meaning. </w:t>
      </w:r>
      <w:r w:rsidR="00F52A75" w:rsidRPr="003F6B7E">
        <w:rPr>
          <w:rFonts w:ascii="Times New Roman" w:hAnsi="Times New Roman" w:cs="Times New Roman"/>
        </w:rPr>
        <w:t>“</w:t>
      </w:r>
      <w:r w:rsidR="00E614F4" w:rsidRPr="003F6B7E">
        <w:rPr>
          <w:rFonts w:ascii="Times New Roman" w:hAnsi="Times New Roman" w:cs="Times New Roman"/>
        </w:rPr>
        <w:t>[E]</w:t>
      </w:r>
      <w:r w:rsidR="00F52A75" w:rsidRPr="003F6B7E">
        <w:rPr>
          <w:rFonts w:ascii="Times New Roman" w:hAnsi="Times New Roman" w:cs="Times New Roman"/>
        </w:rPr>
        <w:t>very style authority applicable to legal writing agrees on</w:t>
      </w:r>
      <w:r w:rsidR="00E614F4" w:rsidRPr="003F6B7E">
        <w:rPr>
          <w:rFonts w:ascii="Times New Roman" w:hAnsi="Times New Roman" w:cs="Times New Roman"/>
        </w:rPr>
        <w:t xml:space="preserve"> what a block quote signifies[.]</w:t>
      </w:r>
      <w:r w:rsidR="00F52A75" w:rsidRPr="003F6B7E">
        <w:rPr>
          <w:rFonts w:ascii="Times New Roman" w:hAnsi="Times New Roman" w:cs="Times New Roman"/>
        </w:rPr>
        <w:t>” Slip op. at 16.</w:t>
      </w:r>
      <w:r w:rsidR="00F8263E" w:rsidRPr="003F6B7E">
        <w:rPr>
          <w:rFonts w:ascii="Times New Roman" w:hAnsi="Times New Roman" w:cs="Times New Roman"/>
        </w:rPr>
        <w:t xml:space="preserve"> </w:t>
      </w:r>
      <w:r w:rsidR="00587BEA" w:rsidRPr="003F6B7E">
        <w:rPr>
          <w:rFonts w:ascii="Times New Roman" w:hAnsi="Times New Roman" w:cs="Times New Roman"/>
        </w:rPr>
        <w:t xml:space="preserve">Plaintiffs’ </w:t>
      </w:r>
      <w:r w:rsidR="00F8263E" w:rsidRPr="003F6B7E">
        <w:rPr>
          <w:rFonts w:ascii="Times New Roman" w:hAnsi="Times New Roman" w:cs="Times New Roman"/>
        </w:rPr>
        <w:t xml:space="preserve">use of </w:t>
      </w:r>
      <w:r w:rsidR="008224AC" w:rsidRPr="003F6B7E">
        <w:rPr>
          <w:rFonts w:ascii="Times New Roman" w:hAnsi="Times New Roman" w:cs="Times New Roman"/>
        </w:rPr>
        <w:t xml:space="preserve">(1) </w:t>
      </w:r>
      <w:r w:rsidR="0092592E" w:rsidRPr="003F6B7E">
        <w:rPr>
          <w:rFonts w:ascii="Times New Roman" w:hAnsi="Times New Roman" w:cs="Times New Roman"/>
        </w:rPr>
        <w:t xml:space="preserve">the words “which states” preceding the block quote, </w:t>
      </w:r>
      <w:r w:rsidR="008224AC" w:rsidRPr="003F6B7E">
        <w:rPr>
          <w:rFonts w:ascii="Times New Roman" w:hAnsi="Times New Roman" w:cs="Times New Roman"/>
        </w:rPr>
        <w:t xml:space="preserve">(2) </w:t>
      </w:r>
      <w:r w:rsidR="0092592E" w:rsidRPr="003F6B7E">
        <w:rPr>
          <w:rFonts w:ascii="Times New Roman" w:hAnsi="Times New Roman" w:cs="Times New Roman"/>
        </w:rPr>
        <w:t xml:space="preserve">the offset text </w:t>
      </w:r>
      <w:r w:rsidR="00F27EA7" w:rsidRPr="003F6B7E">
        <w:rPr>
          <w:rFonts w:ascii="Times New Roman" w:hAnsi="Times New Roman" w:cs="Times New Roman"/>
        </w:rPr>
        <w:t xml:space="preserve">“in a single-spaced, indented block without quotation marks[,]” slip op. at 19, and </w:t>
      </w:r>
      <w:r w:rsidR="008224AC" w:rsidRPr="003F6B7E">
        <w:rPr>
          <w:rFonts w:ascii="Times New Roman" w:hAnsi="Times New Roman" w:cs="Times New Roman"/>
        </w:rPr>
        <w:t xml:space="preserve">(3) </w:t>
      </w:r>
      <w:r w:rsidR="00F27EA7" w:rsidRPr="003F6B7E">
        <w:rPr>
          <w:rFonts w:ascii="Times New Roman" w:hAnsi="Times New Roman" w:cs="Times New Roman"/>
        </w:rPr>
        <w:t>ellipsis</w:t>
      </w:r>
      <w:r w:rsidR="003020FF" w:rsidRPr="003F6B7E">
        <w:rPr>
          <w:rFonts w:ascii="Times New Roman" w:hAnsi="Times New Roman" w:cs="Times New Roman"/>
        </w:rPr>
        <w:t xml:space="preserve"> signify that the quoted words are exactly as they appear in the contract.</w:t>
      </w:r>
      <w:r w:rsidR="00995AD7" w:rsidRPr="003F6B7E">
        <w:rPr>
          <w:rFonts w:ascii="Times New Roman" w:hAnsi="Times New Roman" w:cs="Times New Roman"/>
        </w:rPr>
        <w:t xml:space="preserve"> The misrepresentation is material because plaintiff</w:t>
      </w:r>
      <w:r w:rsidR="006008C0" w:rsidRPr="003F6B7E">
        <w:rPr>
          <w:rFonts w:ascii="Times New Roman" w:hAnsi="Times New Roman" w:cs="Times New Roman"/>
        </w:rPr>
        <w:t>s</w:t>
      </w:r>
      <w:r w:rsidR="00995AD7" w:rsidRPr="003F6B7E">
        <w:rPr>
          <w:rFonts w:ascii="Times New Roman" w:hAnsi="Times New Roman" w:cs="Times New Roman"/>
        </w:rPr>
        <w:t xml:space="preserve"> sought some advantage from it and because untangling it cost the court time. </w:t>
      </w:r>
      <w:r w:rsidR="00590F6E" w:rsidRPr="003F6B7E">
        <w:rPr>
          <w:rFonts w:ascii="Times New Roman" w:hAnsi="Times New Roman" w:cs="Times New Roman"/>
        </w:rPr>
        <w:t>Finally, plaintiffs</w:t>
      </w:r>
      <w:r w:rsidR="006008C0" w:rsidRPr="003F6B7E">
        <w:rPr>
          <w:rFonts w:ascii="Times New Roman" w:hAnsi="Times New Roman" w:cs="Times New Roman"/>
        </w:rPr>
        <w:t>’</w:t>
      </w:r>
      <w:r w:rsidR="00590F6E" w:rsidRPr="003F6B7E">
        <w:rPr>
          <w:rFonts w:ascii="Times New Roman" w:hAnsi="Times New Roman" w:cs="Times New Roman"/>
        </w:rPr>
        <w:t xml:space="preserve"> arguments at the hearing before the trial court do not change the analysis because Rule 11(a) regards the signing of written documents.</w:t>
      </w:r>
    </w:p>
    <w:p w14:paraId="05CC2C7D" w14:textId="77777777" w:rsidR="00C40183" w:rsidRPr="003F6B7E" w:rsidRDefault="00C40183" w:rsidP="00306C04">
      <w:pPr>
        <w:rPr>
          <w:rFonts w:ascii="Times New Roman" w:hAnsi="Times New Roman" w:cs="Times New Roman"/>
        </w:rPr>
      </w:pPr>
    </w:p>
    <w:p w14:paraId="55EFF0A0" w14:textId="77777777" w:rsidR="00DE5059" w:rsidRPr="003F6B7E" w:rsidRDefault="00DE5059" w:rsidP="00FA4B53">
      <w:pPr>
        <w:spacing w:line="240" w:lineRule="auto"/>
        <w:rPr>
          <w:rFonts w:ascii="Times New Roman" w:hAnsi="Times New Roman" w:cs="Times New Roman"/>
          <w:b/>
          <w:bCs/>
        </w:rPr>
      </w:pPr>
    </w:p>
    <w:p w14:paraId="3333A68A" w14:textId="77777777" w:rsidR="00DE5059" w:rsidRPr="003F6B7E" w:rsidRDefault="00DE5059" w:rsidP="00DE5059">
      <w:pPr>
        <w:pStyle w:val="Heading2"/>
        <w:rPr>
          <w:rFonts w:ascii="Times New Roman" w:hAnsi="Times New Roman" w:cs="Times New Roman"/>
        </w:rPr>
      </w:pPr>
      <w:bookmarkStart w:id="6" w:name="_Toc242276213"/>
      <w:r w:rsidRPr="003F6B7E">
        <w:rPr>
          <w:rFonts w:ascii="Times New Roman" w:hAnsi="Times New Roman" w:cs="Times New Roman"/>
        </w:rPr>
        <w:t>Rule 19</w:t>
      </w:r>
      <w:bookmarkEnd w:id="6"/>
    </w:p>
    <w:p w14:paraId="5F88C21D" w14:textId="77777777" w:rsidR="00DE5059" w:rsidRPr="003F6B7E" w:rsidRDefault="00DE5059" w:rsidP="00DE5059">
      <w:pPr>
        <w:spacing w:line="240" w:lineRule="auto"/>
        <w:rPr>
          <w:rFonts w:ascii="Times New Roman" w:hAnsi="Times New Roman" w:cs="Times New Roman"/>
          <w:b/>
          <w:bCs/>
        </w:rPr>
      </w:pPr>
      <w:r w:rsidRPr="003F6B7E">
        <w:rPr>
          <w:rFonts w:ascii="Times New Roman" w:hAnsi="Times New Roman" w:cs="Times New Roman"/>
          <w:b/>
          <w:bCs/>
        </w:rPr>
        <w:t>Rule 19 does not require a revocable trust to be named as a party to an equitable distribution proceeding when all settlors of the trust are named parties to the proceeding. Failure to join a necessary party does not implicate the court’s subject matter jurisdiction.</w:t>
      </w:r>
    </w:p>
    <w:p w14:paraId="6355D58A" w14:textId="77777777" w:rsidR="004F7F68" w:rsidRPr="003F6B7E" w:rsidRDefault="004F7F68" w:rsidP="00DE5059">
      <w:pPr>
        <w:spacing w:line="240" w:lineRule="auto"/>
        <w:rPr>
          <w:rFonts w:ascii="Times New Roman" w:hAnsi="Times New Roman" w:cs="Times New Roman"/>
          <w:b/>
          <w:bCs/>
        </w:rPr>
      </w:pPr>
    </w:p>
    <w:p w14:paraId="6382E061" w14:textId="3F383887" w:rsidR="003D3592" w:rsidRPr="003F6B7E" w:rsidRDefault="00DE5059" w:rsidP="00DE5059">
      <w:pPr>
        <w:rPr>
          <w:rFonts w:ascii="Times New Roman" w:hAnsi="Times New Roman" w:cs="Times New Roman"/>
        </w:rPr>
      </w:pPr>
      <w:hyperlink r:id="rId14" w:history="1">
        <w:r w:rsidRPr="003F6B7E">
          <w:rPr>
            <w:rStyle w:val="Hyperlink"/>
            <w:rFonts w:ascii="Times New Roman" w:hAnsi="Times New Roman" w:cs="Times New Roman"/>
          </w:rPr>
          <w:t>Face v. Face</w:t>
        </w:r>
      </w:hyperlink>
      <w:r w:rsidRPr="003F6B7E">
        <w:rPr>
          <w:rFonts w:ascii="Times New Roman" w:hAnsi="Times New Roman" w:cs="Times New Roman"/>
        </w:rPr>
        <w:t>, 333PA24 (N.C. Aug. 14, 2026) (Barringer). Claims for equitable distribution. After trial court entered equitable distribution order and defendant appealed, defendant filed a motion to set aside orders under Rule 60(b)</w:t>
      </w:r>
      <w:r w:rsidR="004F7F68" w:rsidRPr="003F6B7E">
        <w:rPr>
          <w:rFonts w:ascii="Times New Roman" w:hAnsi="Times New Roman" w:cs="Times New Roman"/>
        </w:rPr>
        <w:t>,</w:t>
      </w:r>
      <w:r w:rsidRPr="003F6B7E">
        <w:rPr>
          <w:rFonts w:ascii="Times New Roman" w:hAnsi="Times New Roman" w:cs="Times New Roman"/>
        </w:rPr>
        <w:t xml:space="preserve"> arguing that the trial court lacked subject matter jurisdiction to decide ownership of some property in the equitable distribution order because the revocable </w:t>
      </w:r>
      <w:r w:rsidRPr="003F6B7E">
        <w:rPr>
          <w:rFonts w:ascii="Times New Roman" w:hAnsi="Times New Roman" w:cs="Times New Roman"/>
        </w:rPr>
        <w:lastRenderedPageBreak/>
        <w:t>trust was a necessary party. The trial court indicated how it would rule on the Rule 60(b) motion</w:t>
      </w:r>
      <w:r w:rsidR="008C36A6" w:rsidRPr="003F6B7E">
        <w:rPr>
          <w:rFonts w:ascii="Times New Roman" w:hAnsi="Times New Roman" w:cs="Times New Roman"/>
        </w:rPr>
        <w:t>. T</w:t>
      </w:r>
      <w:r w:rsidRPr="003F6B7E">
        <w:rPr>
          <w:rFonts w:ascii="Times New Roman" w:hAnsi="Times New Roman" w:cs="Times New Roman"/>
        </w:rPr>
        <w:t xml:space="preserve">he NCCOA mostly affirmed the equitable distribution order and affirmed the trial court’s indicative ruling on the Rule 60(b) motion—reasoning that the revocable trust was effectively revoked by the stipulation of the parties that trust property was marital property. On petition for discretionary review, the NCSC considered “[w]hether under Rule 19 a revocable trust must be joined to an equitable distribution proceeding where all settlors of the trust are named parties to the proceeding.” Slip op. at 1. </w:t>
      </w:r>
    </w:p>
    <w:p w14:paraId="6A99711A" w14:textId="77777777" w:rsidR="003D3592" w:rsidRPr="003F6B7E" w:rsidRDefault="003D3592" w:rsidP="00DE5059">
      <w:pPr>
        <w:rPr>
          <w:rFonts w:ascii="Times New Roman" w:hAnsi="Times New Roman" w:cs="Times New Roman"/>
        </w:rPr>
      </w:pPr>
    </w:p>
    <w:p w14:paraId="1C8BC567" w14:textId="2FA6E5DA" w:rsidR="00DE5059" w:rsidRPr="003F6B7E" w:rsidRDefault="00DE5059" w:rsidP="00DE5059">
      <w:pPr>
        <w:rPr>
          <w:rFonts w:ascii="Times New Roman" w:hAnsi="Times New Roman" w:cs="Times New Roman"/>
        </w:rPr>
      </w:pPr>
      <w:r w:rsidRPr="003F6B7E">
        <w:rPr>
          <w:rFonts w:ascii="Times New Roman" w:hAnsi="Times New Roman" w:cs="Times New Roman"/>
        </w:rPr>
        <w:t xml:space="preserve">Reviewing the history of the necessary party rule prior to the enactment of the North Carolina Rules of Civil Procedure, the NCSC reasoned that “while Rule 19 generally requires that all necessary parties be joined in an action, equity demands that the courts also engage in practical inquiries … what is the legal relationship between a settlor and a revocable trust[?]” Slip op. at 11. Since the settlor has total control over the trust, the distinction between a settlor and the trust is not clear. State and federal tax law treat the property held in a revocable trust as taxable to the settlor; bankruptcy law treats such property as </w:t>
      </w:r>
      <w:r w:rsidR="00E81E5A" w:rsidRPr="003F6B7E">
        <w:rPr>
          <w:rFonts w:ascii="Times New Roman" w:hAnsi="Times New Roman" w:cs="Times New Roman"/>
        </w:rPr>
        <w:t>owned</w:t>
      </w:r>
      <w:r w:rsidRPr="003F6B7E">
        <w:rPr>
          <w:rFonts w:ascii="Times New Roman" w:hAnsi="Times New Roman" w:cs="Times New Roman"/>
        </w:rPr>
        <w:t xml:space="preserve"> by the settlor. “[A] judgment against the settlors concerning property held in a revocable trust will effectively bind the revocable trust without interfering with anyone else’s rights.” Slip op. at 13. Therefore, a revocable trust need not be joined under Rule 19 when all settlors are named parties to the action.</w:t>
      </w:r>
    </w:p>
    <w:p w14:paraId="3920C55A" w14:textId="77777777" w:rsidR="00DE5059" w:rsidRPr="003F6B7E" w:rsidRDefault="00DE5059" w:rsidP="00DE5059">
      <w:pPr>
        <w:rPr>
          <w:rFonts w:ascii="Times New Roman" w:hAnsi="Times New Roman" w:cs="Times New Roman"/>
        </w:rPr>
      </w:pPr>
    </w:p>
    <w:p w14:paraId="393FEBBB" w14:textId="7F8B5F2D" w:rsidR="00DE5059" w:rsidRPr="003F6B7E" w:rsidRDefault="00DE5059" w:rsidP="00DE5059">
      <w:pPr>
        <w:rPr>
          <w:rFonts w:ascii="Times New Roman" w:hAnsi="Times New Roman" w:cs="Times New Roman"/>
        </w:rPr>
      </w:pPr>
      <w:r w:rsidRPr="003F6B7E">
        <w:rPr>
          <w:rFonts w:ascii="Times New Roman" w:hAnsi="Times New Roman" w:cs="Times New Roman"/>
        </w:rPr>
        <w:t xml:space="preserve">Justice Berger dissented. The dissent would have required joinder of the revocable trust as a separate legal entity under Rule 19. The dissent reasoned that a revocable trust </w:t>
      </w:r>
      <w:r w:rsidR="00FB26EB" w:rsidRPr="003F6B7E">
        <w:rPr>
          <w:rFonts w:ascii="Times New Roman" w:hAnsi="Times New Roman" w:cs="Times New Roman"/>
        </w:rPr>
        <w:t xml:space="preserve">must </w:t>
      </w:r>
      <w:r w:rsidRPr="003F6B7E">
        <w:rPr>
          <w:rFonts w:ascii="Times New Roman" w:hAnsi="Times New Roman" w:cs="Times New Roman"/>
        </w:rPr>
        <w:t xml:space="preserve">be revoked under G.S. 36C-6-602(c) and may not effectively be revoked by an order </w:t>
      </w:r>
      <w:r w:rsidR="0068391C" w:rsidRPr="003F6B7E">
        <w:rPr>
          <w:rFonts w:ascii="Times New Roman" w:hAnsi="Times New Roman" w:cs="Times New Roman"/>
        </w:rPr>
        <w:t xml:space="preserve">against </w:t>
      </w:r>
      <w:r w:rsidRPr="003F6B7E">
        <w:rPr>
          <w:rFonts w:ascii="Times New Roman" w:hAnsi="Times New Roman" w:cs="Times New Roman"/>
        </w:rPr>
        <w:t>the settlors</w:t>
      </w:r>
      <w:r w:rsidR="001B7761" w:rsidRPr="003F6B7E">
        <w:rPr>
          <w:rFonts w:ascii="Times New Roman" w:hAnsi="Times New Roman" w:cs="Times New Roman"/>
        </w:rPr>
        <w:t xml:space="preserve"> only</w:t>
      </w:r>
      <w:r w:rsidRPr="003F6B7E">
        <w:rPr>
          <w:rFonts w:ascii="Times New Roman" w:hAnsi="Times New Roman" w:cs="Times New Roman"/>
        </w:rPr>
        <w:t>.</w:t>
      </w:r>
    </w:p>
    <w:p w14:paraId="209C9CAF" w14:textId="77777777" w:rsidR="00DE5059" w:rsidRPr="003F6B7E" w:rsidRDefault="00DE5059" w:rsidP="00FA4B53">
      <w:pPr>
        <w:spacing w:line="240" w:lineRule="auto"/>
        <w:rPr>
          <w:rFonts w:ascii="Times New Roman" w:hAnsi="Times New Roman" w:cs="Times New Roman"/>
          <w:b/>
          <w:bCs/>
        </w:rPr>
      </w:pPr>
    </w:p>
    <w:p w14:paraId="0DABEEE4" w14:textId="2F12E3D3" w:rsidR="002E2CEA" w:rsidRPr="003F6B7E" w:rsidRDefault="002E2CEA" w:rsidP="004F6576">
      <w:pPr>
        <w:pStyle w:val="Heading2"/>
        <w:rPr>
          <w:rFonts w:ascii="Times New Roman" w:hAnsi="Times New Roman" w:cs="Times New Roman"/>
        </w:rPr>
      </w:pPr>
      <w:bookmarkStart w:id="7" w:name="_Toc242276214"/>
      <w:r w:rsidRPr="003F6B7E">
        <w:rPr>
          <w:rFonts w:ascii="Times New Roman" w:hAnsi="Times New Roman" w:cs="Times New Roman"/>
        </w:rPr>
        <w:t>Rule 30(b)(5)–(6)</w:t>
      </w:r>
      <w:bookmarkEnd w:id="7"/>
    </w:p>
    <w:p w14:paraId="17F85355" w14:textId="77777777" w:rsidR="002E2CEA" w:rsidRPr="003F6B7E" w:rsidRDefault="002E2CEA" w:rsidP="002E2CEA">
      <w:pPr>
        <w:spacing w:line="240" w:lineRule="auto"/>
        <w:rPr>
          <w:rFonts w:ascii="Times New Roman" w:hAnsi="Times New Roman" w:cs="Times New Roman"/>
          <w:b/>
          <w:bCs/>
        </w:rPr>
      </w:pPr>
      <w:r w:rsidRPr="003F6B7E">
        <w:rPr>
          <w:rFonts w:ascii="Times New Roman" w:hAnsi="Times New Roman" w:cs="Times New Roman"/>
          <w:b/>
          <w:bCs/>
        </w:rPr>
        <w:t xml:space="preserve">A party may not unilaterally set a tighter deadline on responding to discovery requests than those prescribed by the North Carolina Rules of Civil Procedure, and the trial court erred in imposing sanctions for failure to comply with the improper deadline. The trial court erred by waiving and overruling defendants’ objection to Rule 30(b)(6) deposition topics when defendants did not seek a protective order. A party objecting to deposition topics in a Rule 30(b)(6) notice preserves those objections even without seeking a protective order under Rule 26(c). </w:t>
      </w:r>
    </w:p>
    <w:p w14:paraId="2CA1A7B1" w14:textId="77777777" w:rsidR="002E2CEA" w:rsidRPr="003F6B7E" w:rsidRDefault="002E2CEA" w:rsidP="002E2CEA">
      <w:pPr>
        <w:spacing w:line="240" w:lineRule="auto"/>
        <w:rPr>
          <w:rFonts w:ascii="Times New Roman" w:hAnsi="Times New Roman" w:cs="Times New Roman"/>
          <w:b/>
          <w:bCs/>
        </w:rPr>
      </w:pPr>
    </w:p>
    <w:p w14:paraId="50AAF389" w14:textId="7C1EE7AE" w:rsidR="002E2CEA" w:rsidRPr="003F6B7E" w:rsidRDefault="002E2CEA" w:rsidP="002E2CEA">
      <w:pPr>
        <w:rPr>
          <w:rFonts w:ascii="Times New Roman" w:hAnsi="Times New Roman" w:cs="Times New Roman"/>
        </w:rPr>
      </w:pPr>
      <w:hyperlink r:id="rId15" w:history="1">
        <w:r w:rsidRPr="003F6B7E">
          <w:rPr>
            <w:rStyle w:val="Hyperlink"/>
            <w:rFonts w:ascii="Times New Roman" w:hAnsi="Times New Roman" w:cs="Times New Roman"/>
          </w:rPr>
          <w:t>Sessoms v. Toyota Motor Sales, U.S.A., Inc.</w:t>
        </w:r>
      </w:hyperlink>
      <w:r w:rsidRPr="003F6B7E">
        <w:rPr>
          <w:rFonts w:ascii="Times New Roman" w:hAnsi="Times New Roman" w:cs="Times New Roman"/>
        </w:rPr>
        <w:t xml:space="preserve">, 23PA25 (N.C. Aug. 14, 2026) (Earls). Action by personal representative of the estate of decedent killed while driving vehicle manufactured by defendants. The trial court entered a discovery sanctions order against defendants for willful failure to comply with North Carolina Rules of Civil Procedure. The sanctions order struck one of defendants’ defenses and established two elements of Plaintiff’s claim.  Defendants appealed. The NCCOA vacated the sanctions order and reversed the discovery order in part in </w:t>
      </w:r>
      <w:r w:rsidRPr="003F6B7E">
        <w:rPr>
          <w:rFonts w:ascii="Times New Roman" w:hAnsi="Times New Roman" w:cs="Times New Roman"/>
          <w:i/>
          <w:iCs/>
        </w:rPr>
        <w:t>Sessoms v. Toyota Motor Sales, U.S.A. Inc.</w:t>
      </w:r>
      <w:r w:rsidRPr="003F6B7E">
        <w:rPr>
          <w:rFonts w:ascii="Times New Roman" w:hAnsi="Times New Roman" w:cs="Times New Roman"/>
        </w:rPr>
        <w:t>, 297 N.C. App. 395 (2024), summarized in Civil Procedure Update, Superior Court Judges’ Conference</w:t>
      </w:r>
      <w:r w:rsidR="00FF5CE9" w:rsidRPr="003F6B7E">
        <w:rPr>
          <w:rFonts w:ascii="Times New Roman" w:hAnsi="Times New Roman" w:cs="Times New Roman"/>
        </w:rPr>
        <w:t xml:space="preserve">, Summer 2025 </w:t>
      </w:r>
      <w:r w:rsidR="00CE1E18" w:rsidRPr="003F6B7E">
        <w:rPr>
          <w:rFonts w:ascii="Times New Roman" w:hAnsi="Times New Roman" w:cs="Times New Roman"/>
        </w:rPr>
        <w:t>at 14</w:t>
      </w:r>
      <w:r w:rsidRPr="003F6B7E">
        <w:rPr>
          <w:rFonts w:ascii="Times New Roman" w:hAnsi="Times New Roman" w:cs="Times New Roman"/>
        </w:rPr>
        <w:t xml:space="preserve">. The issues in that opinion are not before the NCSC. Issues not analyzed by the NCCOA in that opinion </w:t>
      </w:r>
      <w:r w:rsidR="00FB2BDD" w:rsidRPr="003F6B7E">
        <w:rPr>
          <w:rFonts w:ascii="Times New Roman" w:hAnsi="Times New Roman" w:cs="Times New Roman"/>
        </w:rPr>
        <w:t xml:space="preserve">came </w:t>
      </w:r>
      <w:r w:rsidRPr="003F6B7E">
        <w:rPr>
          <w:rFonts w:ascii="Times New Roman" w:hAnsi="Times New Roman" w:cs="Times New Roman"/>
        </w:rPr>
        <w:t>before the NCSC.</w:t>
      </w:r>
    </w:p>
    <w:p w14:paraId="494DBE7D" w14:textId="77777777" w:rsidR="002E2CEA" w:rsidRPr="003F6B7E" w:rsidRDefault="002E2CEA" w:rsidP="002E2CEA">
      <w:pPr>
        <w:rPr>
          <w:rFonts w:ascii="Times New Roman" w:hAnsi="Times New Roman" w:cs="Times New Roman"/>
        </w:rPr>
      </w:pPr>
    </w:p>
    <w:p w14:paraId="46919495" w14:textId="0B58B800" w:rsidR="002E2CEA" w:rsidRPr="003F6B7E" w:rsidRDefault="002E2CEA" w:rsidP="002E2CEA">
      <w:pPr>
        <w:rPr>
          <w:rFonts w:ascii="Times New Roman" w:hAnsi="Times New Roman" w:cs="Times New Roman"/>
        </w:rPr>
      </w:pPr>
      <w:r w:rsidRPr="003F6B7E">
        <w:rPr>
          <w:rFonts w:ascii="Times New Roman" w:hAnsi="Times New Roman" w:cs="Times New Roman"/>
        </w:rPr>
        <w:t>The issues before the NCSC include</w:t>
      </w:r>
      <w:r w:rsidR="00DD2110" w:rsidRPr="003F6B7E">
        <w:rPr>
          <w:rFonts w:ascii="Times New Roman" w:hAnsi="Times New Roman" w:cs="Times New Roman"/>
        </w:rPr>
        <w:t xml:space="preserve">: </w:t>
      </w:r>
      <w:r w:rsidRPr="003F6B7E">
        <w:rPr>
          <w:rFonts w:ascii="Times New Roman" w:hAnsi="Times New Roman" w:cs="Times New Roman"/>
        </w:rPr>
        <w:t>whether the trial court may enforce plaintiff’s unilateral tightening of the deadline to respond to document requests in a Rule 30(b)(5) deposition notice</w:t>
      </w:r>
      <w:r w:rsidR="00DD2110" w:rsidRPr="003F6B7E">
        <w:rPr>
          <w:rFonts w:ascii="Times New Roman" w:hAnsi="Times New Roman" w:cs="Times New Roman"/>
        </w:rPr>
        <w:t>,</w:t>
      </w:r>
      <w:r w:rsidRPr="003F6B7E">
        <w:rPr>
          <w:rFonts w:ascii="Times New Roman" w:hAnsi="Times New Roman" w:cs="Times New Roman"/>
        </w:rPr>
        <w:t xml:space="preserve"> and</w:t>
      </w:r>
      <w:r w:rsidR="00DD2110" w:rsidRPr="003F6B7E">
        <w:rPr>
          <w:rFonts w:ascii="Times New Roman" w:hAnsi="Times New Roman" w:cs="Times New Roman"/>
        </w:rPr>
        <w:t xml:space="preserve"> </w:t>
      </w:r>
      <w:r w:rsidRPr="003F6B7E">
        <w:rPr>
          <w:rFonts w:ascii="Times New Roman" w:hAnsi="Times New Roman" w:cs="Times New Roman"/>
        </w:rPr>
        <w:t xml:space="preserve">whether a party objecting to topics for a Rule 30(b)(6) deposition must also seek a protective order to avoid sanctions before refusing to produce a witness to testify to the objected-to topics. The NCSC held that “[o]ne party may not unilaterally impose tighter deadlines on their adverse party than those prescribed by the Rules and expose the other party to sanctions on that basis.” Slip op. at 16. On the issue of objections to topics in depositions of organizations under Rule 30(b)(6), the North Carolina Rules of Civil Procedure impose responsibilities on the parties </w:t>
      </w:r>
      <w:r w:rsidRPr="003F6B7E">
        <w:rPr>
          <w:rFonts w:ascii="Times New Roman" w:hAnsi="Times New Roman" w:cs="Times New Roman"/>
        </w:rPr>
        <w:lastRenderedPageBreak/>
        <w:t xml:space="preserve">seeking and responding to discovery. “The noticing party must be reasonably clear about the topics to be covered, and the deponent organization must adequately prepare its designees to speak to the identified topics.” Slip op. at 23. A party’s failure to appear for a deposition results in “total noncompliance” according to the comment to the 1975 Amendment to Rule 37(d). When a party designates a person </w:t>
      </w:r>
      <w:r w:rsidR="00346C64" w:rsidRPr="003F6B7E">
        <w:rPr>
          <w:rFonts w:ascii="Times New Roman" w:hAnsi="Times New Roman" w:cs="Times New Roman"/>
        </w:rPr>
        <w:t xml:space="preserve">who </w:t>
      </w:r>
      <w:r w:rsidRPr="003F6B7E">
        <w:rPr>
          <w:rFonts w:ascii="Times New Roman" w:hAnsi="Times New Roman" w:cs="Times New Roman"/>
        </w:rPr>
        <w:t>testif</w:t>
      </w:r>
      <w:r w:rsidR="00346C64" w:rsidRPr="003F6B7E">
        <w:rPr>
          <w:rFonts w:ascii="Times New Roman" w:hAnsi="Times New Roman" w:cs="Times New Roman"/>
        </w:rPr>
        <w:t xml:space="preserve">ies </w:t>
      </w:r>
      <w:r w:rsidRPr="003F6B7E">
        <w:rPr>
          <w:rFonts w:ascii="Times New Roman" w:hAnsi="Times New Roman" w:cs="Times New Roman"/>
        </w:rPr>
        <w:t xml:space="preserve">to certain topics </w:t>
      </w:r>
      <w:r w:rsidR="00346C64" w:rsidRPr="003F6B7E">
        <w:rPr>
          <w:rFonts w:ascii="Times New Roman" w:hAnsi="Times New Roman" w:cs="Times New Roman"/>
        </w:rPr>
        <w:t xml:space="preserve">while the party </w:t>
      </w:r>
      <w:r w:rsidRPr="003F6B7E">
        <w:rPr>
          <w:rFonts w:ascii="Times New Roman" w:hAnsi="Times New Roman" w:cs="Times New Roman"/>
        </w:rPr>
        <w:t xml:space="preserve">objects to other topics, the circumstances are different; the NCSC reasons that this is analogous to a failure to designate a person to be deposed on </w:t>
      </w:r>
      <w:r w:rsidR="00346C64" w:rsidRPr="003F6B7E">
        <w:rPr>
          <w:rFonts w:ascii="Times New Roman" w:hAnsi="Times New Roman" w:cs="Times New Roman"/>
        </w:rPr>
        <w:t xml:space="preserve">the objected-to </w:t>
      </w:r>
      <w:r w:rsidRPr="003F6B7E">
        <w:rPr>
          <w:rFonts w:ascii="Times New Roman" w:hAnsi="Times New Roman" w:cs="Times New Roman"/>
        </w:rPr>
        <w:t>topic</w:t>
      </w:r>
      <w:r w:rsidR="00346C64" w:rsidRPr="003F6B7E">
        <w:rPr>
          <w:rFonts w:ascii="Times New Roman" w:hAnsi="Times New Roman" w:cs="Times New Roman"/>
        </w:rPr>
        <w:t>s</w:t>
      </w:r>
      <w:r w:rsidRPr="003F6B7E">
        <w:rPr>
          <w:rFonts w:ascii="Times New Roman" w:hAnsi="Times New Roman" w:cs="Times New Roman"/>
        </w:rPr>
        <w:t xml:space="preserve"> under Rule 37(a)(2). In that circumstance, the party seeking discovery should make a motion to compel to bring the dispute before the trial court. The rules “do not require a deponent to a Rule 30(b)(6) deposition notice to seek or obtain a protective order prior to the taking of a deposition to preserve their objections to the noticed topics.” Slip op. at 21–22. On an additional issue raised by the defendants, it would not be error for the trial court to order defendants to explain why documents identified by their own witness are not in their possession, custody, or control. </w:t>
      </w:r>
    </w:p>
    <w:p w14:paraId="59FDE36E" w14:textId="77777777" w:rsidR="002E2CEA" w:rsidRPr="003F6B7E" w:rsidRDefault="002E2CEA" w:rsidP="002E2CEA">
      <w:pPr>
        <w:rPr>
          <w:rFonts w:ascii="Times New Roman" w:hAnsi="Times New Roman" w:cs="Times New Roman"/>
        </w:rPr>
      </w:pPr>
    </w:p>
    <w:p w14:paraId="7C0AE1DA" w14:textId="096C4AED" w:rsidR="002E2CEA" w:rsidRPr="003F6B7E" w:rsidRDefault="002E2CEA" w:rsidP="002E2CEA">
      <w:pPr>
        <w:rPr>
          <w:rFonts w:ascii="Times New Roman" w:hAnsi="Times New Roman" w:cs="Times New Roman"/>
        </w:rPr>
      </w:pPr>
      <w:r w:rsidRPr="003F6B7E">
        <w:rPr>
          <w:rFonts w:ascii="Times New Roman" w:hAnsi="Times New Roman" w:cs="Times New Roman"/>
        </w:rPr>
        <w:t xml:space="preserve">Justice Dietz, joined by Chief Justice Newby, concurred. The concurrence recognized the errors in the trial court order but would have required the parties to meet and confer under Rule 26(f) and to schedule a discovery conference with the trial court </w:t>
      </w:r>
      <w:r w:rsidR="00B223FC" w:rsidRPr="003F6B7E">
        <w:rPr>
          <w:rFonts w:ascii="Times New Roman" w:hAnsi="Times New Roman" w:cs="Times New Roman"/>
        </w:rPr>
        <w:t xml:space="preserve">if </w:t>
      </w:r>
      <w:r w:rsidRPr="003F6B7E">
        <w:rPr>
          <w:rFonts w:ascii="Times New Roman" w:hAnsi="Times New Roman" w:cs="Times New Roman"/>
        </w:rPr>
        <w:t xml:space="preserve">the meet and confer process </w:t>
      </w:r>
      <w:r w:rsidR="00B223FC" w:rsidRPr="003F6B7E">
        <w:rPr>
          <w:rFonts w:ascii="Times New Roman" w:hAnsi="Times New Roman" w:cs="Times New Roman"/>
        </w:rPr>
        <w:t xml:space="preserve">does </w:t>
      </w:r>
      <w:r w:rsidRPr="003F6B7E">
        <w:rPr>
          <w:rFonts w:ascii="Times New Roman" w:hAnsi="Times New Roman" w:cs="Times New Roman"/>
        </w:rPr>
        <w:t xml:space="preserve">not produce a discovery plan. </w:t>
      </w:r>
    </w:p>
    <w:p w14:paraId="488761CE" w14:textId="77777777" w:rsidR="002E2CEA" w:rsidRPr="003F6B7E" w:rsidRDefault="002E2CEA" w:rsidP="002E2CEA">
      <w:pPr>
        <w:rPr>
          <w:rFonts w:ascii="Times New Roman" w:hAnsi="Times New Roman" w:cs="Times New Roman"/>
        </w:rPr>
      </w:pPr>
    </w:p>
    <w:p w14:paraId="0CBFEE30" w14:textId="398FAF62" w:rsidR="002E2CEA" w:rsidRPr="003F6B7E" w:rsidRDefault="002E2CEA" w:rsidP="002E2CEA">
      <w:pPr>
        <w:rPr>
          <w:rFonts w:ascii="Times New Roman" w:hAnsi="Times New Roman" w:cs="Times New Roman"/>
        </w:rPr>
      </w:pPr>
      <w:r w:rsidRPr="003F6B7E">
        <w:rPr>
          <w:rFonts w:ascii="Times New Roman" w:hAnsi="Times New Roman" w:cs="Times New Roman"/>
        </w:rPr>
        <w:t xml:space="preserve">Justice Riggs dissented. The dissent would have held that the NCCOA improperly granted certiorari to review </w:t>
      </w:r>
      <w:r w:rsidR="00A84AC0" w:rsidRPr="003F6B7E">
        <w:rPr>
          <w:rFonts w:ascii="Times New Roman" w:hAnsi="Times New Roman" w:cs="Times New Roman"/>
        </w:rPr>
        <w:t xml:space="preserve">an </w:t>
      </w:r>
      <w:r w:rsidRPr="003F6B7E">
        <w:rPr>
          <w:rFonts w:ascii="Times New Roman" w:hAnsi="Times New Roman" w:cs="Times New Roman"/>
        </w:rPr>
        <w:t xml:space="preserve">interlocutory discovery order entered by the trial court against the standard in </w:t>
      </w:r>
      <w:r w:rsidRPr="003F6B7E">
        <w:rPr>
          <w:rFonts w:ascii="Times New Roman" w:hAnsi="Times New Roman" w:cs="Times New Roman"/>
          <w:i/>
          <w:iCs/>
        </w:rPr>
        <w:t>Cryan v. National Council of Young Men’s Christian Associations of United States</w:t>
      </w:r>
      <w:r w:rsidRPr="003F6B7E">
        <w:rPr>
          <w:rFonts w:ascii="Times New Roman" w:hAnsi="Times New Roman" w:cs="Times New Roman"/>
        </w:rPr>
        <w:t xml:space="preserve">, </w:t>
      </w:r>
      <w:r w:rsidRPr="003F6B7E">
        <w:rPr>
          <w:rFonts w:ascii="Times New Roman" w:hAnsi="Times New Roman" w:cs="Times New Roman"/>
        </w:rPr>
        <w:lastRenderedPageBreak/>
        <w:t>384 N.C. 569 (2023). The dissent would further have held that defendants’ answers during the depositions waived their objections to the topics noticed.</w:t>
      </w:r>
    </w:p>
    <w:p w14:paraId="334DA481" w14:textId="77777777" w:rsidR="00B223FC" w:rsidRPr="003F6B7E" w:rsidRDefault="00B223FC" w:rsidP="002E2CEA">
      <w:pPr>
        <w:rPr>
          <w:rFonts w:ascii="Times New Roman" w:hAnsi="Times New Roman" w:cs="Times New Roman"/>
          <w:i/>
          <w:iCs/>
        </w:rPr>
      </w:pPr>
    </w:p>
    <w:p w14:paraId="001F6A7A" w14:textId="77777777" w:rsidR="00E419DE" w:rsidRPr="003F6B7E" w:rsidRDefault="00E419DE" w:rsidP="00E419DE">
      <w:pPr>
        <w:pStyle w:val="Heading2"/>
        <w:rPr>
          <w:rFonts w:ascii="Times New Roman" w:hAnsi="Times New Roman" w:cs="Times New Roman"/>
        </w:rPr>
      </w:pPr>
      <w:bookmarkStart w:id="8" w:name="_Toc242276215"/>
      <w:r w:rsidRPr="003F6B7E">
        <w:rPr>
          <w:rFonts w:ascii="Times New Roman" w:hAnsi="Times New Roman" w:cs="Times New Roman"/>
        </w:rPr>
        <w:t>Rule 50</w:t>
      </w:r>
      <w:bookmarkEnd w:id="8"/>
    </w:p>
    <w:p w14:paraId="50446DB0" w14:textId="77777777" w:rsidR="00E419DE" w:rsidRPr="003F6B7E" w:rsidRDefault="00E419DE" w:rsidP="00E419DE">
      <w:pPr>
        <w:spacing w:line="240" w:lineRule="auto"/>
        <w:rPr>
          <w:rFonts w:ascii="Times New Roman" w:hAnsi="Times New Roman" w:cs="Times New Roman"/>
          <w:b/>
          <w:bCs/>
        </w:rPr>
      </w:pPr>
      <w:r w:rsidRPr="003F6B7E">
        <w:rPr>
          <w:rFonts w:ascii="Times New Roman" w:hAnsi="Times New Roman" w:cs="Times New Roman"/>
          <w:b/>
          <w:bCs/>
        </w:rPr>
        <w:t>No error when trial court denied defendants’ motions for directed verdict and judgment notwithstanding the verdict after plaintiff presented ample evidence of confidential or fiduciary relationship.</w:t>
      </w:r>
    </w:p>
    <w:p w14:paraId="3432449F" w14:textId="77777777" w:rsidR="00E419DE" w:rsidRPr="003F6B7E" w:rsidRDefault="00E419DE" w:rsidP="00E419DE">
      <w:pPr>
        <w:spacing w:line="240" w:lineRule="auto"/>
        <w:rPr>
          <w:rFonts w:ascii="Times New Roman" w:hAnsi="Times New Roman" w:cs="Times New Roman"/>
          <w:b/>
          <w:bCs/>
        </w:rPr>
      </w:pPr>
    </w:p>
    <w:p w14:paraId="18C06261" w14:textId="77777777" w:rsidR="003D3592" w:rsidRPr="003F6B7E" w:rsidRDefault="00E419DE" w:rsidP="00E419DE">
      <w:pPr>
        <w:rPr>
          <w:rFonts w:ascii="Times New Roman" w:hAnsi="Times New Roman" w:cs="Times New Roman"/>
        </w:rPr>
      </w:pPr>
      <w:hyperlink r:id="rId16" w:history="1">
        <w:r w:rsidRPr="003F6B7E">
          <w:rPr>
            <w:rStyle w:val="Hyperlink"/>
            <w:rFonts w:ascii="Times New Roman" w:hAnsi="Times New Roman" w:cs="Times New Roman"/>
          </w:rPr>
          <w:t>Underwood v Lynch</w:t>
        </w:r>
      </w:hyperlink>
      <w:r w:rsidRPr="003F6B7E">
        <w:rPr>
          <w:rFonts w:ascii="Times New Roman" w:hAnsi="Times New Roman" w:cs="Times New Roman"/>
        </w:rPr>
        <w:t xml:space="preserve">, COA26-54 (N.C. Ct. App. Aug. 5, 2026) (Zachary) (Union). Action for constructive fraud. Decedent named defendant as joint owner with right of survivorship in checking and savings accounts funded solely by decedent. Less than two weeks later, decedent suffered a stroke. Two days after that, defendant withdrew more than $130,000 from the joint accounts. Decedent died almost two weeks later. Administrator of decedent’s estate filed complaint against defendant for constructive fraud based on a fiduciary relationship between defendant and decedent. At trial, defendant moved for directed verdict at the close of plaintiff’s evidence and renewed the motion at the close of all the evidence. A jury returned a verdict for constructive fraud and defendant moved for judgment notwithstanding the verdict. The trial court denied the motion and defendant appealed. </w:t>
      </w:r>
    </w:p>
    <w:p w14:paraId="17A35664" w14:textId="77777777" w:rsidR="003D3592" w:rsidRPr="003F6B7E" w:rsidRDefault="003D3592" w:rsidP="00E419DE">
      <w:pPr>
        <w:rPr>
          <w:rFonts w:ascii="Times New Roman" w:hAnsi="Times New Roman" w:cs="Times New Roman"/>
        </w:rPr>
      </w:pPr>
    </w:p>
    <w:p w14:paraId="7D5AAD22" w14:textId="7C5FEE06" w:rsidR="002E2CEA" w:rsidRPr="003F6B7E" w:rsidRDefault="00E419DE" w:rsidP="00E45DF0">
      <w:pPr>
        <w:rPr>
          <w:rFonts w:ascii="Times New Roman" w:hAnsi="Times New Roman" w:cs="Times New Roman"/>
          <w:b/>
          <w:bCs/>
        </w:rPr>
      </w:pPr>
      <w:r w:rsidRPr="003F6B7E">
        <w:rPr>
          <w:rFonts w:ascii="Times New Roman" w:hAnsi="Times New Roman" w:cs="Times New Roman"/>
        </w:rPr>
        <w:t xml:space="preserve">Defendant argued that there was not a scintilla of evidence showing a fiduciary relationship between defendant and decedent. </w:t>
      </w:r>
      <w:r w:rsidR="001938B8" w:rsidRPr="003F6B7E">
        <w:rPr>
          <w:rFonts w:ascii="Times New Roman" w:hAnsi="Times New Roman" w:cs="Times New Roman"/>
        </w:rPr>
        <w:t xml:space="preserve">“[A] fiduciary relationship arises whenever there is confidence reposed on one side, and resulting domination and influence on the other.” Slip op. at 8 (cleaned up). </w:t>
      </w:r>
      <w:r w:rsidRPr="003F6B7E">
        <w:rPr>
          <w:rFonts w:ascii="Times New Roman" w:hAnsi="Times New Roman" w:cs="Times New Roman"/>
        </w:rPr>
        <w:t xml:space="preserve">The NCCOA considered that decedent was cognitively impaired, suffered from multiple health problems, did not drive, and was legally blind. Defendant testified that she was decedent’s best friend and caregiver. Decedent lived in defendant’s home. The teller at the bank where the </w:t>
      </w:r>
      <w:r w:rsidRPr="003F6B7E">
        <w:rPr>
          <w:rFonts w:ascii="Times New Roman" w:hAnsi="Times New Roman" w:cs="Times New Roman"/>
        </w:rPr>
        <w:lastRenderedPageBreak/>
        <w:t xml:space="preserve">joint accounts were located noted decedent’s vulnerability. This amounted to </w:t>
      </w:r>
      <w:r w:rsidR="0098698F" w:rsidRPr="003F6B7E">
        <w:rPr>
          <w:rFonts w:ascii="Times New Roman" w:hAnsi="Times New Roman" w:cs="Times New Roman"/>
        </w:rPr>
        <w:t xml:space="preserve">more than a scintilla of evidence supporting </w:t>
      </w:r>
      <w:r w:rsidR="007349FB" w:rsidRPr="003F6B7E">
        <w:rPr>
          <w:rFonts w:ascii="Times New Roman" w:hAnsi="Times New Roman" w:cs="Times New Roman"/>
        </w:rPr>
        <w:t xml:space="preserve">a </w:t>
      </w:r>
      <w:r w:rsidR="001938B8" w:rsidRPr="003F6B7E">
        <w:rPr>
          <w:rFonts w:ascii="Times New Roman" w:hAnsi="Times New Roman" w:cs="Times New Roman"/>
        </w:rPr>
        <w:t xml:space="preserve">fiduciary relationship, and thus a reasonable jury could find defendant liable </w:t>
      </w:r>
      <w:r w:rsidR="007349FB" w:rsidRPr="003F6B7E">
        <w:rPr>
          <w:rFonts w:ascii="Times New Roman" w:hAnsi="Times New Roman" w:cs="Times New Roman"/>
        </w:rPr>
        <w:t>for constructive fraud</w:t>
      </w:r>
      <w:r w:rsidR="007F5F69" w:rsidRPr="003F6B7E">
        <w:rPr>
          <w:rFonts w:ascii="Times New Roman" w:hAnsi="Times New Roman" w:cs="Times New Roman"/>
        </w:rPr>
        <w:t xml:space="preserve">. </w:t>
      </w:r>
    </w:p>
    <w:p w14:paraId="227FB4B2" w14:textId="77777777" w:rsidR="002E2CEA" w:rsidRPr="003F6B7E" w:rsidRDefault="002E2CEA" w:rsidP="00FA4B53">
      <w:pPr>
        <w:spacing w:line="240" w:lineRule="auto"/>
        <w:rPr>
          <w:rFonts w:ascii="Times New Roman" w:hAnsi="Times New Roman" w:cs="Times New Roman"/>
          <w:b/>
          <w:bCs/>
        </w:rPr>
      </w:pPr>
    </w:p>
    <w:p w14:paraId="2FF23AC2" w14:textId="77777777" w:rsidR="00FA4B53" w:rsidRPr="003F6B7E" w:rsidRDefault="00FA4B53" w:rsidP="00FA4B53">
      <w:pPr>
        <w:spacing w:line="240" w:lineRule="auto"/>
        <w:rPr>
          <w:rFonts w:ascii="Times New Roman" w:hAnsi="Times New Roman" w:cs="Times New Roman"/>
          <w:b/>
          <w:bCs/>
        </w:rPr>
      </w:pPr>
    </w:p>
    <w:p w14:paraId="2B7FC3D8" w14:textId="77777777" w:rsidR="00CF1839" w:rsidRPr="003F6B7E" w:rsidRDefault="00CF1839" w:rsidP="00CF1839">
      <w:pPr>
        <w:pStyle w:val="Heading2"/>
        <w:rPr>
          <w:rFonts w:ascii="Times New Roman" w:hAnsi="Times New Roman" w:cs="Times New Roman"/>
        </w:rPr>
      </w:pPr>
      <w:bookmarkStart w:id="9" w:name="_Toc242276216"/>
      <w:r w:rsidRPr="003F6B7E">
        <w:rPr>
          <w:rFonts w:ascii="Times New Roman" w:hAnsi="Times New Roman" w:cs="Times New Roman"/>
        </w:rPr>
        <w:t>Rule 60(b)(6)</w:t>
      </w:r>
      <w:bookmarkEnd w:id="9"/>
    </w:p>
    <w:p w14:paraId="3BF4212E" w14:textId="06337113" w:rsidR="00B96EF2" w:rsidRPr="003F6B7E" w:rsidRDefault="00B96EF2" w:rsidP="00440AEC">
      <w:pPr>
        <w:spacing w:line="240" w:lineRule="auto"/>
        <w:rPr>
          <w:rFonts w:ascii="Times New Roman" w:hAnsi="Times New Roman" w:cs="Times New Roman"/>
          <w:b/>
          <w:bCs/>
        </w:rPr>
      </w:pPr>
      <w:r w:rsidRPr="003F6B7E">
        <w:rPr>
          <w:rFonts w:ascii="Times New Roman" w:hAnsi="Times New Roman" w:cs="Times New Roman"/>
          <w:b/>
          <w:bCs/>
        </w:rPr>
        <w:t>Trial court erred in denying defendant’s motion for relief from judgment under Rule 60(b)(6) when the record did not show defendant had been served with notice of hearing under Rule 5(d) and Rule 6(d) and trial court’s decision was based on the trial court’s unsupported belief that notice of hearing had been sent to defendant.</w:t>
      </w:r>
    </w:p>
    <w:p w14:paraId="6787C254" w14:textId="77777777" w:rsidR="00440AEC" w:rsidRPr="003F6B7E" w:rsidRDefault="00440AEC" w:rsidP="00440AEC">
      <w:pPr>
        <w:spacing w:line="240" w:lineRule="auto"/>
        <w:rPr>
          <w:rFonts w:ascii="Times New Roman" w:hAnsi="Times New Roman" w:cs="Times New Roman"/>
          <w:b/>
          <w:bCs/>
        </w:rPr>
      </w:pPr>
    </w:p>
    <w:p w14:paraId="39FE8ACB" w14:textId="77777777" w:rsidR="003D3592" w:rsidRPr="003F6B7E" w:rsidRDefault="00CF1839" w:rsidP="00CF1839">
      <w:pPr>
        <w:rPr>
          <w:rFonts w:ascii="Times New Roman" w:hAnsi="Times New Roman" w:cs="Times New Roman"/>
        </w:rPr>
      </w:pPr>
      <w:hyperlink r:id="rId17" w:history="1">
        <w:r w:rsidRPr="003F6B7E">
          <w:rPr>
            <w:rStyle w:val="Hyperlink"/>
            <w:rFonts w:ascii="Times New Roman" w:hAnsi="Times New Roman" w:cs="Times New Roman"/>
          </w:rPr>
          <w:t>Brincefield v Brincefield</w:t>
        </w:r>
      </w:hyperlink>
      <w:r w:rsidRPr="003F6B7E">
        <w:rPr>
          <w:rFonts w:ascii="Times New Roman" w:hAnsi="Times New Roman" w:cs="Times New Roman"/>
        </w:rPr>
        <w:t>, COA25-1085 (N.C. Ct. App. Aug. 5, 2026) (Wood) (Alamance).</w:t>
      </w:r>
      <w:r w:rsidR="00023568" w:rsidRPr="003F6B7E">
        <w:rPr>
          <w:rFonts w:ascii="Times New Roman" w:hAnsi="Times New Roman" w:cs="Times New Roman"/>
        </w:rPr>
        <w:t xml:space="preserve"> </w:t>
      </w:r>
      <w:r w:rsidR="009132ED" w:rsidRPr="003F6B7E">
        <w:rPr>
          <w:rFonts w:ascii="Times New Roman" w:hAnsi="Times New Roman" w:cs="Times New Roman"/>
        </w:rPr>
        <w:t>Action for absolute divorce and equitable distribution. Defendant was served with the summons and complaint. Some months later, plaintiff filed a calendar request and notice of hearing</w:t>
      </w:r>
      <w:r w:rsidR="00FF7668" w:rsidRPr="003F6B7E">
        <w:rPr>
          <w:rFonts w:ascii="Times New Roman" w:hAnsi="Times New Roman" w:cs="Times New Roman"/>
        </w:rPr>
        <w:t xml:space="preserve"> on a local form that included </w:t>
      </w:r>
      <w:r w:rsidR="00703EE1" w:rsidRPr="003F6B7E">
        <w:rPr>
          <w:rFonts w:ascii="Times New Roman" w:hAnsi="Times New Roman" w:cs="Times New Roman"/>
        </w:rPr>
        <w:t xml:space="preserve">a </w:t>
      </w:r>
      <w:r w:rsidR="00FF7668" w:rsidRPr="003F6B7E">
        <w:rPr>
          <w:rFonts w:ascii="Times New Roman" w:hAnsi="Times New Roman" w:cs="Times New Roman"/>
        </w:rPr>
        <w:t>certificate of service, which plaintiff completed.</w:t>
      </w:r>
      <w:r w:rsidR="004159AF" w:rsidRPr="003F6B7E">
        <w:rPr>
          <w:rFonts w:ascii="Times New Roman" w:hAnsi="Times New Roman" w:cs="Times New Roman"/>
        </w:rPr>
        <w:t xml:space="preserve"> Defendant did not appear at the hearing. </w:t>
      </w:r>
      <w:r w:rsidR="00AD67D7" w:rsidRPr="003F6B7E">
        <w:rPr>
          <w:rFonts w:ascii="Times New Roman" w:hAnsi="Times New Roman" w:cs="Times New Roman"/>
        </w:rPr>
        <w:t>The divorce judgment was entered the next day</w:t>
      </w:r>
      <w:r w:rsidR="00765367" w:rsidRPr="003F6B7E">
        <w:rPr>
          <w:rFonts w:ascii="Times New Roman" w:hAnsi="Times New Roman" w:cs="Times New Roman"/>
        </w:rPr>
        <w:t xml:space="preserve"> and the equitable distribution claim remained pending</w:t>
      </w:r>
      <w:r w:rsidR="00AD67D7" w:rsidRPr="003F6B7E">
        <w:rPr>
          <w:rFonts w:ascii="Times New Roman" w:hAnsi="Times New Roman" w:cs="Times New Roman"/>
        </w:rPr>
        <w:t xml:space="preserve">. </w:t>
      </w:r>
      <w:r w:rsidR="00164EF4" w:rsidRPr="003F6B7E">
        <w:rPr>
          <w:rFonts w:ascii="Times New Roman" w:hAnsi="Times New Roman" w:cs="Times New Roman"/>
        </w:rPr>
        <w:t xml:space="preserve">There is no evidence defendant was served with an order to continue or notice of hearing on the claim for equitable distribution. </w:t>
      </w:r>
      <w:r w:rsidR="006E2FC9" w:rsidRPr="003F6B7E">
        <w:rPr>
          <w:rFonts w:ascii="Times New Roman" w:hAnsi="Times New Roman" w:cs="Times New Roman"/>
        </w:rPr>
        <w:t>The trial court entered an equitable distribution order</w:t>
      </w:r>
      <w:r w:rsidR="0069347A" w:rsidRPr="003F6B7E">
        <w:rPr>
          <w:rFonts w:ascii="Times New Roman" w:hAnsi="Times New Roman" w:cs="Times New Roman"/>
        </w:rPr>
        <w:t xml:space="preserve"> following a hearing at which defendant did not appear.</w:t>
      </w:r>
      <w:r w:rsidR="006E2FC9" w:rsidRPr="003F6B7E">
        <w:rPr>
          <w:rFonts w:ascii="Times New Roman" w:hAnsi="Times New Roman" w:cs="Times New Roman"/>
        </w:rPr>
        <w:t xml:space="preserve"> </w:t>
      </w:r>
      <w:r w:rsidR="0069347A" w:rsidRPr="003F6B7E">
        <w:rPr>
          <w:rFonts w:ascii="Times New Roman" w:hAnsi="Times New Roman" w:cs="Times New Roman"/>
        </w:rPr>
        <w:t xml:space="preserve">The </w:t>
      </w:r>
      <w:r w:rsidR="006E2FC9" w:rsidRPr="003F6B7E">
        <w:rPr>
          <w:rFonts w:ascii="Times New Roman" w:hAnsi="Times New Roman" w:cs="Times New Roman"/>
        </w:rPr>
        <w:t xml:space="preserve">plaintiff </w:t>
      </w:r>
      <w:r w:rsidR="0069347A" w:rsidRPr="003F6B7E">
        <w:rPr>
          <w:rFonts w:ascii="Times New Roman" w:hAnsi="Times New Roman" w:cs="Times New Roman"/>
        </w:rPr>
        <w:t xml:space="preserve">then </w:t>
      </w:r>
      <w:r w:rsidR="006E2FC9" w:rsidRPr="003F6B7E">
        <w:rPr>
          <w:rFonts w:ascii="Times New Roman" w:hAnsi="Times New Roman" w:cs="Times New Roman"/>
        </w:rPr>
        <w:t>filed a motion for contempt and to show cause</w:t>
      </w:r>
      <w:r w:rsidR="0069347A" w:rsidRPr="003F6B7E">
        <w:rPr>
          <w:rFonts w:ascii="Times New Roman" w:hAnsi="Times New Roman" w:cs="Times New Roman"/>
        </w:rPr>
        <w:t xml:space="preserve"> alleging defendant’s failure to comply with the equitable distribution order. </w:t>
      </w:r>
      <w:r w:rsidR="007A25D7" w:rsidRPr="003F6B7E">
        <w:rPr>
          <w:rFonts w:ascii="Times New Roman" w:hAnsi="Times New Roman" w:cs="Times New Roman"/>
        </w:rPr>
        <w:t xml:space="preserve">Defendant filed a motion under Rule 60(b)(6) arguing he had no notice of the hearing. The trial court denied defendant’s motion after </w:t>
      </w:r>
      <w:r w:rsidR="00E23C8B" w:rsidRPr="003F6B7E">
        <w:rPr>
          <w:rFonts w:ascii="Times New Roman" w:hAnsi="Times New Roman" w:cs="Times New Roman"/>
        </w:rPr>
        <w:t xml:space="preserve">the trial court noted that the court had not received returned mail </w:t>
      </w:r>
      <w:r w:rsidR="0053030D" w:rsidRPr="003F6B7E">
        <w:rPr>
          <w:rFonts w:ascii="Times New Roman" w:hAnsi="Times New Roman" w:cs="Times New Roman"/>
        </w:rPr>
        <w:t xml:space="preserve">after </w:t>
      </w:r>
      <w:r w:rsidR="000A332C" w:rsidRPr="003F6B7E">
        <w:rPr>
          <w:rFonts w:ascii="Times New Roman" w:hAnsi="Times New Roman" w:cs="Times New Roman"/>
        </w:rPr>
        <w:t xml:space="preserve">mailing </w:t>
      </w:r>
      <w:r w:rsidR="00E23C8B" w:rsidRPr="003F6B7E">
        <w:rPr>
          <w:rFonts w:ascii="Times New Roman" w:hAnsi="Times New Roman" w:cs="Times New Roman"/>
        </w:rPr>
        <w:t>the order of continuance and notice hearing</w:t>
      </w:r>
      <w:r w:rsidR="00B21B6D" w:rsidRPr="003F6B7E">
        <w:rPr>
          <w:rFonts w:ascii="Times New Roman" w:hAnsi="Times New Roman" w:cs="Times New Roman"/>
        </w:rPr>
        <w:t xml:space="preserve"> </w:t>
      </w:r>
      <w:r w:rsidR="00E23C8B" w:rsidRPr="003F6B7E">
        <w:rPr>
          <w:rFonts w:ascii="Times New Roman" w:hAnsi="Times New Roman" w:cs="Times New Roman"/>
        </w:rPr>
        <w:t>and defendant could produce no proof that he was not served with notice of hearing.</w:t>
      </w:r>
      <w:r w:rsidR="002B19D1" w:rsidRPr="003F6B7E">
        <w:rPr>
          <w:rFonts w:ascii="Times New Roman" w:hAnsi="Times New Roman" w:cs="Times New Roman"/>
        </w:rPr>
        <w:t xml:space="preserve"> </w:t>
      </w:r>
    </w:p>
    <w:p w14:paraId="4F1DEAF3" w14:textId="77777777" w:rsidR="003D3592" w:rsidRPr="003F6B7E" w:rsidRDefault="003D3592" w:rsidP="00CF1839">
      <w:pPr>
        <w:rPr>
          <w:rFonts w:ascii="Times New Roman" w:hAnsi="Times New Roman" w:cs="Times New Roman"/>
        </w:rPr>
      </w:pPr>
    </w:p>
    <w:p w14:paraId="5F88F4B5" w14:textId="717B75D1" w:rsidR="00CF1839" w:rsidRPr="003F6B7E" w:rsidRDefault="002B19D1" w:rsidP="00CF1839">
      <w:pPr>
        <w:rPr>
          <w:rFonts w:ascii="Times New Roman" w:hAnsi="Times New Roman" w:cs="Times New Roman"/>
        </w:rPr>
      </w:pPr>
      <w:r w:rsidRPr="003F6B7E">
        <w:rPr>
          <w:rFonts w:ascii="Times New Roman" w:hAnsi="Times New Roman" w:cs="Times New Roman"/>
        </w:rPr>
        <w:t xml:space="preserve">The NCCOA held that the trial court abused its discretion by denying defendant’s Rule 60(b)(6) motion when the record showed no </w:t>
      </w:r>
      <w:r w:rsidR="00946C8C" w:rsidRPr="003F6B7E">
        <w:rPr>
          <w:rFonts w:ascii="Times New Roman" w:hAnsi="Times New Roman" w:cs="Times New Roman"/>
        </w:rPr>
        <w:t xml:space="preserve">evidence that the notice of hearing had been served and the </w:t>
      </w:r>
      <w:r w:rsidR="00946C8C" w:rsidRPr="003F6B7E">
        <w:rPr>
          <w:rFonts w:ascii="Times New Roman" w:hAnsi="Times New Roman" w:cs="Times New Roman"/>
        </w:rPr>
        <w:lastRenderedPageBreak/>
        <w:t xml:space="preserve">trial court </w:t>
      </w:r>
      <w:r w:rsidR="00EA23E0" w:rsidRPr="003F6B7E">
        <w:rPr>
          <w:rFonts w:ascii="Times New Roman" w:hAnsi="Times New Roman" w:cs="Times New Roman"/>
        </w:rPr>
        <w:t xml:space="preserve">based its decision on the assumption </w:t>
      </w:r>
      <w:r w:rsidR="00946C8C" w:rsidRPr="003F6B7E">
        <w:rPr>
          <w:rFonts w:ascii="Times New Roman" w:hAnsi="Times New Roman" w:cs="Times New Roman"/>
        </w:rPr>
        <w:t>the court would have mailed that notice</w:t>
      </w:r>
      <w:r w:rsidR="00614B89" w:rsidRPr="003F6B7E">
        <w:rPr>
          <w:rFonts w:ascii="Times New Roman" w:hAnsi="Times New Roman" w:cs="Times New Roman"/>
        </w:rPr>
        <w:t>.</w:t>
      </w:r>
      <w:r w:rsidR="000A332C" w:rsidRPr="003F6B7E">
        <w:rPr>
          <w:rFonts w:ascii="Times New Roman" w:hAnsi="Times New Roman" w:cs="Times New Roman"/>
        </w:rPr>
        <w:t xml:space="preserve"> </w:t>
      </w:r>
      <w:r w:rsidR="00614B89" w:rsidRPr="003F6B7E">
        <w:rPr>
          <w:rFonts w:ascii="Times New Roman" w:hAnsi="Times New Roman" w:cs="Times New Roman"/>
        </w:rPr>
        <w:t>“[T]he trial court appears to have shifted the burden to the Defendant to disprove he was noticed even though the record contains no evidence notice was given.” Slip op. at 7.</w:t>
      </w:r>
      <w:r w:rsidR="0097333E" w:rsidRPr="003F6B7E">
        <w:rPr>
          <w:rFonts w:ascii="Times New Roman" w:hAnsi="Times New Roman" w:cs="Times New Roman"/>
        </w:rPr>
        <w:t xml:space="preserve"> </w:t>
      </w:r>
      <w:r w:rsidR="00B25E38" w:rsidRPr="003F6B7E">
        <w:rPr>
          <w:rFonts w:ascii="Times New Roman" w:hAnsi="Times New Roman" w:cs="Times New Roman"/>
        </w:rPr>
        <w:t>The trial court should have determined whether defendant had received notice of hearing under Rule</w:t>
      </w:r>
      <w:r w:rsidR="00E57BA4" w:rsidRPr="003F6B7E">
        <w:rPr>
          <w:rFonts w:ascii="Times New Roman" w:hAnsi="Times New Roman" w:cs="Times New Roman"/>
        </w:rPr>
        <w:t>s</w:t>
      </w:r>
      <w:r w:rsidR="00B25E38" w:rsidRPr="003F6B7E">
        <w:rPr>
          <w:rFonts w:ascii="Times New Roman" w:hAnsi="Times New Roman" w:cs="Times New Roman"/>
        </w:rPr>
        <w:t xml:space="preserve"> 5(d) and 6(d) before entering the equitable distribution order and before denying defendant’s Rule 60(b)(6) motion. </w:t>
      </w:r>
      <w:r w:rsidR="00D85B2E" w:rsidRPr="003F6B7E">
        <w:rPr>
          <w:rFonts w:ascii="Times New Roman" w:hAnsi="Times New Roman" w:cs="Times New Roman"/>
        </w:rPr>
        <w:t xml:space="preserve">While </w:t>
      </w:r>
      <w:r w:rsidR="00B67F0B" w:rsidRPr="003F6B7E">
        <w:rPr>
          <w:rFonts w:ascii="Times New Roman" w:hAnsi="Times New Roman" w:cs="Times New Roman"/>
        </w:rPr>
        <w:t xml:space="preserve">parties generally have constructive notice of all matters heard during a regularly-scheduled court date, the failure of the </w:t>
      </w:r>
      <w:r w:rsidR="000246D1" w:rsidRPr="003F6B7E">
        <w:rPr>
          <w:rFonts w:ascii="Times New Roman" w:hAnsi="Times New Roman" w:cs="Times New Roman"/>
        </w:rPr>
        <w:t>parties to follow local rules for inventory affidavits and pretrial orders</w:t>
      </w:r>
      <w:r w:rsidR="00E57BA4" w:rsidRPr="003F6B7E">
        <w:rPr>
          <w:rFonts w:ascii="Times New Roman" w:hAnsi="Times New Roman" w:cs="Times New Roman"/>
        </w:rPr>
        <w:t xml:space="preserve"> meant that</w:t>
      </w:r>
      <w:r w:rsidR="007B63AE" w:rsidRPr="003F6B7E">
        <w:rPr>
          <w:rFonts w:ascii="Times New Roman" w:hAnsi="Times New Roman" w:cs="Times New Roman"/>
        </w:rPr>
        <w:t xml:space="preserve"> </w:t>
      </w:r>
      <w:r w:rsidR="00745EBA" w:rsidRPr="003F6B7E">
        <w:rPr>
          <w:rFonts w:ascii="Times New Roman" w:hAnsi="Times New Roman" w:cs="Times New Roman"/>
        </w:rPr>
        <w:t xml:space="preserve">none of the </w:t>
      </w:r>
      <w:r w:rsidR="007B63AE" w:rsidRPr="003F6B7E">
        <w:rPr>
          <w:rFonts w:ascii="Times New Roman" w:hAnsi="Times New Roman" w:cs="Times New Roman"/>
        </w:rPr>
        <w:t xml:space="preserve">requirements of Rule 5 and 6 were met and </w:t>
      </w:r>
      <w:r w:rsidR="00BF096D" w:rsidRPr="003F6B7E">
        <w:rPr>
          <w:rFonts w:ascii="Times New Roman" w:hAnsi="Times New Roman" w:cs="Times New Roman"/>
        </w:rPr>
        <w:t xml:space="preserve">there is no evidence that </w:t>
      </w:r>
      <w:r w:rsidR="007B63AE" w:rsidRPr="003F6B7E">
        <w:rPr>
          <w:rFonts w:ascii="Times New Roman" w:hAnsi="Times New Roman" w:cs="Times New Roman"/>
        </w:rPr>
        <w:t xml:space="preserve">defendant had </w:t>
      </w:r>
      <w:r w:rsidR="00BF096D" w:rsidRPr="003F6B7E">
        <w:rPr>
          <w:rFonts w:ascii="Times New Roman" w:hAnsi="Times New Roman" w:cs="Times New Roman"/>
        </w:rPr>
        <w:t xml:space="preserve">actual </w:t>
      </w:r>
      <w:r w:rsidR="007B63AE" w:rsidRPr="003F6B7E">
        <w:rPr>
          <w:rFonts w:ascii="Times New Roman" w:hAnsi="Times New Roman" w:cs="Times New Roman"/>
        </w:rPr>
        <w:t>notice of the hearing.</w:t>
      </w:r>
    </w:p>
    <w:p w14:paraId="636D249D" w14:textId="77777777" w:rsidR="00F6597C" w:rsidRPr="003F6B7E" w:rsidRDefault="00F6597C" w:rsidP="00306C04">
      <w:pPr>
        <w:rPr>
          <w:rFonts w:ascii="Times New Roman" w:hAnsi="Times New Roman" w:cs="Times New Roman"/>
        </w:rPr>
      </w:pPr>
    </w:p>
    <w:p w14:paraId="76259ED9" w14:textId="082E3341" w:rsidR="00242A72" w:rsidRPr="003F6B7E" w:rsidRDefault="00242A72" w:rsidP="00DA45F0">
      <w:pPr>
        <w:spacing w:line="240" w:lineRule="auto"/>
        <w:rPr>
          <w:rFonts w:ascii="Times New Roman" w:hAnsi="Times New Roman" w:cs="Times New Roman"/>
          <w:b/>
          <w:bCs/>
        </w:rPr>
      </w:pPr>
      <w:r w:rsidRPr="003F6B7E">
        <w:rPr>
          <w:rFonts w:ascii="Times New Roman" w:hAnsi="Times New Roman" w:cs="Times New Roman"/>
          <w:b/>
          <w:bCs/>
        </w:rPr>
        <w:t xml:space="preserve">No error </w:t>
      </w:r>
      <w:r w:rsidR="00325F22" w:rsidRPr="003F6B7E">
        <w:rPr>
          <w:rFonts w:ascii="Times New Roman" w:hAnsi="Times New Roman" w:cs="Times New Roman"/>
          <w:b/>
          <w:bCs/>
        </w:rPr>
        <w:t xml:space="preserve">when trial court denied Rule 60(b) motion after plaintiff filed a voluntary dismissal </w:t>
      </w:r>
      <w:r w:rsidR="00426E72" w:rsidRPr="003F6B7E">
        <w:rPr>
          <w:rFonts w:ascii="Times New Roman" w:hAnsi="Times New Roman" w:cs="Times New Roman"/>
          <w:b/>
          <w:bCs/>
        </w:rPr>
        <w:t>with prejudice and</w:t>
      </w:r>
      <w:r w:rsidR="00440AEC" w:rsidRPr="003F6B7E">
        <w:rPr>
          <w:rFonts w:ascii="Times New Roman" w:hAnsi="Times New Roman" w:cs="Times New Roman"/>
          <w:b/>
          <w:bCs/>
        </w:rPr>
        <w:t>,</w:t>
      </w:r>
      <w:r w:rsidR="00426E72" w:rsidRPr="003F6B7E">
        <w:rPr>
          <w:rFonts w:ascii="Times New Roman" w:hAnsi="Times New Roman" w:cs="Times New Roman"/>
          <w:b/>
          <w:bCs/>
        </w:rPr>
        <w:t xml:space="preserve"> </w:t>
      </w:r>
      <w:r w:rsidR="00DA45F0" w:rsidRPr="003F6B7E">
        <w:rPr>
          <w:rFonts w:ascii="Times New Roman" w:hAnsi="Times New Roman" w:cs="Times New Roman"/>
          <w:b/>
          <w:bCs/>
        </w:rPr>
        <w:t>over one year</w:t>
      </w:r>
      <w:r w:rsidR="00440AEC" w:rsidRPr="003F6B7E">
        <w:rPr>
          <w:rFonts w:ascii="Times New Roman" w:hAnsi="Times New Roman" w:cs="Times New Roman"/>
          <w:b/>
          <w:bCs/>
        </w:rPr>
        <w:t xml:space="preserve"> later,</w:t>
      </w:r>
      <w:r w:rsidR="00DA45F0" w:rsidRPr="003F6B7E">
        <w:rPr>
          <w:rFonts w:ascii="Times New Roman" w:hAnsi="Times New Roman" w:cs="Times New Roman"/>
          <w:b/>
          <w:bCs/>
        </w:rPr>
        <w:t xml:space="preserve"> refiled the complaint and argued the dismissal should have been without prejudice.</w:t>
      </w:r>
    </w:p>
    <w:p w14:paraId="3709C751" w14:textId="77777777" w:rsidR="00DA45F0" w:rsidRPr="003F6B7E" w:rsidRDefault="00DA45F0" w:rsidP="00DA45F0">
      <w:pPr>
        <w:spacing w:line="240" w:lineRule="auto"/>
        <w:rPr>
          <w:rFonts w:ascii="Times New Roman" w:hAnsi="Times New Roman" w:cs="Times New Roman"/>
          <w:b/>
          <w:bCs/>
        </w:rPr>
      </w:pPr>
    </w:p>
    <w:p w14:paraId="0B9CD228" w14:textId="1012AA86" w:rsidR="000D2BAA" w:rsidRPr="003F6B7E" w:rsidRDefault="00242A72" w:rsidP="00242A72">
      <w:pPr>
        <w:rPr>
          <w:rFonts w:ascii="Times New Roman" w:hAnsi="Times New Roman" w:cs="Times New Roman"/>
        </w:rPr>
      </w:pPr>
      <w:hyperlink r:id="rId18" w:history="1">
        <w:r w:rsidRPr="003F6B7E">
          <w:rPr>
            <w:rStyle w:val="Hyperlink"/>
            <w:rFonts w:ascii="Times New Roman" w:hAnsi="Times New Roman" w:cs="Times New Roman"/>
          </w:rPr>
          <w:t>Perry v. CitiMortgage, Inc.</w:t>
        </w:r>
      </w:hyperlink>
      <w:r w:rsidRPr="003F6B7E">
        <w:rPr>
          <w:rFonts w:ascii="Times New Roman" w:hAnsi="Times New Roman" w:cs="Times New Roman"/>
        </w:rPr>
        <w:t>, COA25-938 (N.C. Ct. App. Sep. 2, 2026) (Cabarrus) (Wood).</w:t>
      </w:r>
      <w:r w:rsidR="00CB0059" w:rsidRPr="003F6B7E">
        <w:rPr>
          <w:rFonts w:ascii="Times New Roman" w:hAnsi="Times New Roman" w:cs="Times New Roman"/>
        </w:rPr>
        <w:t xml:space="preserve"> Action </w:t>
      </w:r>
      <w:r w:rsidR="006E1BB5" w:rsidRPr="003F6B7E">
        <w:rPr>
          <w:rFonts w:ascii="Times New Roman" w:hAnsi="Times New Roman" w:cs="Times New Roman"/>
        </w:rPr>
        <w:t xml:space="preserve">against mortgage lender for violations of Fair Credit Reporting Act. </w:t>
      </w:r>
      <w:r w:rsidR="00EA5CFF" w:rsidRPr="003F6B7E">
        <w:rPr>
          <w:rFonts w:ascii="Times New Roman" w:hAnsi="Times New Roman" w:cs="Times New Roman"/>
        </w:rPr>
        <w:t xml:space="preserve">Following the trial court’s </w:t>
      </w:r>
      <w:r w:rsidR="00FD5966" w:rsidRPr="003F6B7E">
        <w:rPr>
          <w:rFonts w:ascii="Times New Roman" w:hAnsi="Times New Roman" w:cs="Times New Roman"/>
        </w:rPr>
        <w:t xml:space="preserve">referral to a </w:t>
      </w:r>
      <w:r w:rsidR="002E032B" w:rsidRPr="003F6B7E">
        <w:rPr>
          <w:rFonts w:ascii="Times New Roman" w:hAnsi="Times New Roman" w:cs="Times New Roman"/>
        </w:rPr>
        <w:t xml:space="preserve">mediated settlement conference, defendants moved </w:t>
      </w:r>
      <w:r w:rsidR="000376BE" w:rsidRPr="003F6B7E">
        <w:rPr>
          <w:rFonts w:ascii="Times New Roman" w:hAnsi="Times New Roman" w:cs="Times New Roman"/>
        </w:rPr>
        <w:t xml:space="preserve">to dismiss and </w:t>
      </w:r>
      <w:r w:rsidR="002B226E" w:rsidRPr="003F6B7E">
        <w:rPr>
          <w:rFonts w:ascii="Times New Roman" w:hAnsi="Times New Roman" w:cs="Times New Roman"/>
        </w:rPr>
        <w:t xml:space="preserve">also moved </w:t>
      </w:r>
      <w:r w:rsidR="002E032B" w:rsidRPr="003F6B7E">
        <w:rPr>
          <w:rFonts w:ascii="Times New Roman" w:hAnsi="Times New Roman" w:cs="Times New Roman"/>
        </w:rPr>
        <w:t>for sanctions against plaintif</w:t>
      </w:r>
      <w:r w:rsidR="00FD5966" w:rsidRPr="003F6B7E">
        <w:rPr>
          <w:rFonts w:ascii="Times New Roman" w:hAnsi="Times New Roman" w:cs="Times New Roman"/>
        </w:rPr>
        <w:t>f</w:t>
      </w:r>
      <w:r w:rsidR="002E032B" w:rsidRPr="003F6B7E">
        <w:rPr>
          <w:rFonts w:ascii="Times New Roman" w:hAnsi="Times New Roman" w:cs="Times New Roman"/>
        </w:rPr>
        <w:t>s for failing t</w:t>
      </w:r>
      <w:r w:rsidR="005E5D6D" w:rsidRPr="003F6B7E">
        <w:rPr>
          <w:rFonts w:ascii="Times New Roman" w:hAnsi="Times New Roman" w:cs="Times New Roman"/>
        </w:rPr>
        <w:t>o participate in selecting a mediator or a date</w:t>
      </w:r>
      <w:r w:rsidR="005A3B13">
        <w:rPr>
          <w:rFonts w:ascii="Times New Roman" w:hAnsi="Times New Roman" w:cs="Times New Roman"/>
        </w:rPr>
        <w:t xml:space="preserve"> for mediation</w:t>
      </w:r>
      <w:r w:rsidR="005E5D6D" w:rsidRPr="003F6B7E">
        <w:rPr>
          <w:rFonts w:ascii="Times New Roman" w:hAnsi="Times New Roman" w:cs="Times New Roman"/>
        </w:rPr>
        <w:t>.</w:t>
      </w:r>
      <w:r w:rsidR="00CC3E2D" w:rsidRPr="003F6B7E">
        <w:rPr>
          <w:rFonts w:ascii="Times New Roman" w:hAnsi="Times New Roman" w:cs="Times New Roman"/>
        </w:rPr>
        <w:t xml:space="preserve"> Eventually the parties mediated but did not resolve the case. Counsel for plaintiffs withdrew </w:t>
      </w:r>
      <w:r w:rsidR="00AE6C88" w:rsidRPr="003F6B7E">
        <w:rPr>
          <w:rFonts w:ascii="Times New Roman" w:hAnsi="Times New Roman" w:cs="Times New Roman"/>
        </w:rPr>
        <w:t>and the trial was continued</w:t>
      </w:r>
      <w:r w:rsidR="000376BE" w:rsidRPr="003F6B7E">
        <w:rPr>
          <w:rFonts w:ascii="Times New Roman" w:hAnsi="Times New Roman" w:cs="Times New Roman"/>
        </w:rPr>
        <w:t>.</w:t>
      </w:r>
      <w:r w:rsidR="00AE6C88" w:rsidRPr="003F6B7E">
        <w:rPr>
          <w:rFonts w:ascii="Times New Roman" w:hAnsi="Times New Roman" w:cs="Times New Roman"/>
        </w:rPr>
        <w:t xml:space="preserve"> </w:t>
      </w:r>
      <w:r w:rsidR="002B226E" w:rsidRPr="003F6B7E">
        <w:rPr>
          <w:rFonts w:ascii="Times New Roman" w:hAnsi="Times New Roman" w:cs="Times New Roman"/>
        </w:rPr>
        <w:t xml:space="preserve">Plaintiffs retained new counsel more than a month later, </w:t>
      </w:r>
      <w:r w:rsidR="001D14BF" w:rsidRPr="003F6B7E">
        <w:rPr>
          <w:rFonts w:ascii="Times New Roman" w:hAnsi="Times New Roman" w:cs="Times New Roman"/>
        </w:rPr>
        <w:t>three days before defendants</w:t>
      </w:r>
      <w:r w:rsidR="00FD35C6" w:rsidRPr="003F6B7E">
        <w:rPr>
          <w:rFonts w:ascii="Times New Roman" w:hAnsi="Times New Roman" w:cs="Times New Roman"/>
        </w:rPr>
        <w:t>’</w:t>
      </w:r>
      <w:r w:rsidR="001D14BF" w:rsidRPr="003F6B7E">
        <w:rPr>
          <w:rFonts w:ascii="Times New Roman" w:hAnsi="Times New Roman" w:cs="Times New Roman"/>
        </w:rPr>
        <w:t xml:space="preserve"> motions were to be heard.</w:t>
      </w:r>
      <w:r w:rsidR="00FD35C6" w:rsidRPr="003F6B7E">
        <w:rPr>
          <w:rFonts w:ascii="Times New Roman" w:hAnsi="Times New Roman" w:cs="Times New Roman"/>
        </w:rPr>
        <w:t xml:space="preserve"> Plaintiffs’ new counsel filed a notice of voluntary dismissal with prejudice the day defendants’ motions were to be heard. </w:t>
      </w:r>
      <w:r w:rsidR="00A160F2" w:rsidRPr="003F6B7E">
        <w:rPr>
          <w:rFonts w:ascii="Times New Roman" w:hAnsi="Times New Roman" w:cs="Times New Roman"/>
        </w:rPr>
        <w:t xml:space="preserve">Almost one year later, plaintiffs refiled the complaint. After removal to federal court, defendants moved to dismiss </w:t>
      </w:r>
      <w:r w:rsidR="00F651F8" w:rsidRPr="003F6B7E">
        <w:rPr>
          <w:rFonts w:ascii="Times New Roman" w:hAnsi="Times New Roman" w:cs="Times New Roman"/>
        </w:rPr>
        <w:t xml:space="preserve">because the claims had been dismissed with prejudice. </w:t>
      </w:r>
      <w:r w:rsidR="00BD3A95" w:rsidRPr="003F6B7E">
        <w:rPr>
          <w:rFonts w:ascii="Times New Roman" w:hAnsi="Times New Roman" w:cs="Times New Roman"/>
        </w:rPr>
        <w:t xml:space="preserve">By this time, more than one year had passed since the voluntary dismissal. </w:t>
      </w:r>
      <w:r w:rsidR="00F651F8" w:rsidRPr="003F6B7E">
        <w:rPr>
          <w:rFonts w:ascii="Times New Roman" w:hAnsi="Times New Roman" w:cs="Times New Roman"/>
        </w:rPr>
        <w:t xml:space="preserve">Plaintiffs moved the superior court </w:t>
      </w:r>
      <w:r w:rsidR="00BD3A95" w:rsidRPr="003F6B7E">
        <w:rPr>
          <w:rFonts w:ascii="Times New Roman" w:hAnsi="Times New Roman" w:cs="Times New Roman"/>
        </w:rPr>
        <w:t xml:space="preserve">to set aside the </w:t>
      </w:r>
      <w:r w:rsidR="00BD3A95" w:rsidRPr="003F6B7E">
        <w:rPr>
          <w:rFonts w:ascii="Times New Roman" w:hAnsi="Times New Roman" w:cs="Times New Roman"/>
        </w:rPr>
        <w:lastRenderedPageBreak/>
        <w:t xml:space="preserve">voluntary dismissal </w:t>
      </w:r>
      <w:r w:rsidR="00B7488F" w:rsidRPr="003F6B7E">
        <w:rPr>
          <w:rFonts w:ascii="Times New Roman" w:hAnsi="Times New Roman" w:cs="Times New Roman"/>
        </w:rPr>
        <w:t xml:space="preserve">with prejudice </w:t>
      </w:r>
      <w:r w:rsidR="00BD3A95" w:rsidRPr="003F6B7E">
        <w:rPr>
          <w:rFonts w:ascii="Times New Roman" w:hAnsi="Times New Roman" w:cs="Times New Roman"/>
        </w:rPr>
        <w:t>under Rule 60(b)</w:t>
      </w:r>
      <w:r w:rsidR="00B7488F" w:rsidRPr="003F6B7E">
        <w:rPr>
          <w:rFonts w:ascii="Times New Roman" w:hAnsi="Times New Roman" w:cs="Times New Roman"/>
        </w:rPr>
        <w:t xml:space="preserve"> and to correct the dismissal to state that it was without prejudice</w:t>
      </w:r>
      <w:r w:rsidR="00BD3A95" w:rsidRPr="003F6B7E">
        <w:rPr>
          <w:rFonts w:ascii="Times New Roman" w:hAnsi="Times New Roman" w:cs="Times New Roman"/>
        </w:rPr>
        <w:t>.</w:t>
      </w:r>
      <w:r w:rsidR="000D2BAA" w:rsidRPr="003F6B7E">
        <w:rPr>
          <w:rFonts w:ascii="Times New Roman" w:hAnsi="Times New Roman" w:cs="Times New Roman"/>
        </w:rPr>
        <w:t xml:space="preserve"> Plaintiffs filed the motion under Rule 60(b)(1), (4), and (6). The trial court denied plaintiffs’ motion and the plaintiffs appealed.</w:t>
      </w:r>
    </w:p>
    <w:p w14:paraId="38FA40C7" w14:textId="77777777" w:rsidR="00E163CA" w:rsidRPr="003F6B7E" w:rsidRDefault="00E163CA" w:rsidP="00242A72">
      <w:pPr>
        <w:rPr>
          <w:rFonts w:ascii="Times New Roman" w:hAnsi="Times New Roman" w:cs="Times New Roman"/>
        </w:rPr>
      </w:pPr>
    </w:p>
    <w:p w14:paraId="1C4BE019" w14:textId="2B95BFC4" w:rsidR="00242A72" w:rsidRPr="003F6B7E" w:rsidRDefault="00E163CA" w:rsidP="00242A72">
      <w:pPr>
        <w:rPr>
          <w:rFonts w:ascii="Times New Roman" w:hAnsi="Times New Roman" w:cs="Times New Roman"/>
        </w:rPr>
      </w:pPr>
      <w:r w:rsidRPr="003F6B7E">
        <w:rPr>
          <w:rFonts w:ascii="Times New Roman" w:hAnsi="Times New Roman" w:cs="Times New Roman"/>
        </w:rPr>
        <w:t>The NCCOA held that the trial court did not err in denying the motion for relief. Rule 60(b)(1) does not provide relief because the motion was filed more than one year after the underlying final judgment.</w:t>
      </w:r>
      <w:r w:rsidR="001F7EF6" w:rsidRPr="003F6B7E">
        <w:rPr>
          <w:rFonts w:ascii="Times New Roman" w:hAnsi="Times New Roman" w:cs="Times New Roman"/>
        </w:rPr>
        <w:t xml:space="preserve"> Rule 60(b)(4) does not provide relief because </w:t>
      </w:r>
      <w:r w:rsidR="00880C06" w:rsidRPr="003F6B7E">
        <w:rPr>
          <w:rFonts w:ascii="Times New Roman" w:hAnsi="Times New Roman" w:cs="Times New Roman"/>
        </w:rPr>
        <w:t xml:space="preserve">this subsection concerns </w:t>
      </w:r>
      <w:r w:rsidR="00D75B05" w:rsidRPr="003F6B7E">
        <w:rPr>
          <w:rFonts w:ascii="Times New Roman" w:hAnsi="Times New Roman" w:cs="Times New Roman"/>
        </w:rPr>
        <w:t xml:space="preserve">orders entered </w:t>
      </w:r>
      <w:r w:rsidR="00B65146" w:rsidRPr="003F6B7E">
        <w:rPr>
          <w:rFonts w:ascii="Times New Roman" w:hAnsi="Times New Roman" w:cs="Times New Roman"/>
        </w:rPr>
        <w:t>when the court lacks jurisdiction</w:t>
      </w:r>
      <w:r w:rsidR="00D75B05" w:rsidRPr="003F6B7E">
        <w:rPr>
          <w:rFonts w:ascii="Times New Roman" w:hAnsi="Times New Roman" w:cs="Times New Roman"/>
        </w:rPr>
        <w:t>.</w:t>
      </w:r>
      <w:r w:rsidR="00B65146" w:rsidRPr="003F6B7E">
        <w:rPr>
          <w:rFonts w:ascii="Times New Roman" w:hAnsi="Times New Roman" w:cs="Times New Roman"/>
        </w:rPr>
        <w:t xml:space="preserve"> Finally Rule 60(b)(6) does not provide relief because extraordinary circumstances do not exist, considering that </w:t>
      </w:r>
      <w:r w:rsidR="00754800" w:rsidRPr="003F6B7E">
        <w:rPr>
          <w:rFonts w:ascii="Times New Roman" w:hAnsi="Times New Roman" w:cs="Times New Roman"/>
        </w:rPr>
        <w:t>plaintiffs had failed to appear for depositions or mediation</w:t>
      </w:r>
      <w:r w:rsidR="00C372E9" w:rsidRPr="003F6B7E">
        <w:rPr>
          <w:rFonts w:ascii="Times New Roman" w:hAnsi="Times New Roman" w:cs="Times New Roman"/>
        </w:rPr>
        <w:t xml:space="preserve"> and “failed to meaningfully engage in the litigation as a whole.” Slip op. at 9.</w:t>
      </w:r>
      <w:r w:rsidR="00F5438E" w:rsidRPr="003F6B7E">
        <w:rPr>
          <w:rFonts w:ascii="Times New Roman" w:hAnsi="Times New Roman" w:cs="Times New Roman"/>
        </w:rPr>
        <w:t xml:space="preserve"> The NCCOA </w:t>
      </w:r>
      <w:r w:rsidR="00060929">
        <w:rPr>
          <w:rFonts w:ascii="Times New Roman" w:hAnsi="Times New Roman" w:cs="Times New Roman"/>
        </w:rPr>
        <w:t>noted</w:t>
      </w:r>
      <w:r w:rsidR="00F5438E" w:rsidRPr="003F6B7E">
        <w:rPr>
          <w:rFonts w:ascii="Times New Roman" w:hAnsi="Times New Roman" w:cs="Times New Roman"/>
        </w:rPr>
        <w:t xml:space="preserve"> the trial court is in a better position to determine credibility when it comes t</w:t>
      </w:r>
      <w:r w:rsidR="00584A46">
        <w:rPr>
          <w:rFonts w:ascii="Times New Roman" w:hAnsi="Times New Roman" w:cs="Times New Roman"/>
        </w:rPr>
        <w:t>o</w:t>
      </w:r>
      <w:r w:rsidR="00F5438E" w:rsidRPr="003F6B7E">
        <w:rPr>
          <w:rFonts w:ascii="Times New Roman" w:hAnsi="Times New Roman" w:cs="Times New Roman"/>
        </w:rPr>
        <w:t xml:space="preserve"> plaintiffs’ contention that their attorney had no authority to file a notice of voluntary dismissal with prejudice</w:t>
      </w:r>
      <w:r w:rsidR="005332DE">
        <w:rPr>
          <w:rFonts w:ascii="Times New Roman" w:hAnsi="Times New Roman" w:cs="Times New Roman"/>
        </w:rPr>
        <w:t xml:space="preserve"> and held the trial court did not err</w:t>
      </w:r>
      <w:r w:rsidR="00F5438E" w:rsidRPr="003F6B7E">
        <w:rPr>
          <w:rFonts w:ascii="Times New Roman" w:hAnsi="Times New Roman" w:cs="Times New Roman"/>
        </w:rPr>
        <w:t>.</w:t>
      </w:r>
    </w:p>
    <w:p w14:paraId="197201BF" w14:textId="77777777" w:rsidR="008322BB" w:rsidRPr="003F6B7E" w:rsidRDefault="008322BB" w:rsidP="008322BB">
      <w:pPr>
        <w:rPr>
          <w:rFonts w:ascii="Times New Roman" w:hAnsi="Times New Roman" w:cs="Times New Roman"/>
          <w:b/>
          <w:bCs/>
        </w:rPr>
      </w:pPr>
    </w:p>
    <w:p w14:paraId="45B9A9CB" w14:textId="4E08EE68" w:rsidR="008322BB" w:rsidRPr="003F6B7E" w:rsidRDefault="008322BB" w:rsidP="008322BB">
      <w:pPr>
        <w:pStyle w:val="Heading2"/>
        <w:rPr>
          <w:rFonts w:ascii="Times New Roman" w:hAnsi="Times New Roman" w:cs="Times New Roman"/>
        </w:rPr>
      </w:pPr>
      <w:bookmarkStart w:id="10" w:name="_Toc242276217"/>
      <w:r w:rsidRPr="003F6B7E">
        <w:rPr>
          <w:rFonts w:ascii="Times New Roman" w:hAnsi="Times New Roman" w:cs="Times New Roman"/>
        </w:rPr>
        <w:t>Subject Matter Jurisdiction in Workers Compensation</w:t>
      </w:r>
      <w:bookmarkEnd w:id="10"/>
    </w:p>
    <w:p w14:paraId="7EB3AD6E" w14:textId="77777777" w:rsidR="008322BB" w:rsidRPr="003F6B7E" w:rsidRDefault="008322BB" w:rsidP="008322BB">
      <w:pPr>
        <w:spacing w:line="240" w:lineRule="auto"/>
        <w:rPr>
          <w:rFonts w:ascii="Times New Roman" w:hAnsi="Times New Roman" w:cs="Times New Roman"/>
          <w:b/>
          <w:bCs/>
        </w:rPr>
      </w:pPr>
      <w:r w:rsidRPr="003F6B7E">
        <w:rPr>
          <w:rFonts w:ascii="Times New Roman" w:hAnsi="Times New Roman" w:cs="Times New Roman"/>
          <w:b/>
          <w:bCs/>
        </w:rPr>
        <w:t>A trial court lacks subject matter jurisdiction to determine the amount of an employer’s subrogation lien following a settlement between an employee and a third-party tortfeasor unless the agreement has been finalized so that only performance is necessary to bind the parties.</w:t>
      </w:r>
    </w:p>
    <w:p w14:paraId="4E114940" w14:textId="77777777" w:rsidR="008322BB" w:rsidRPr="003F6B7E" w:rsidRDefault="008322BB" w:rsidP="008322BB">
      <w:pPr>
        <w:spacing w:line="240" w:lineRule="auto"/>
        <w:rPr>
          <w:rFonts w:ascii="Times New Roman" w:hAnsi="Times New Roman" w:cs="Times New Roman"/>
          <w:b/>
          <w:bCs/>
        </w:rPr>
      </w:pPr>
    </w:p>
    <w:p w14:paraId="75E35EC3" w14:textId="77777777" w:rsidR="006A76D8" w:rsidRPr="003F6B7E" w:rsidRDefault="008322BB" w:rsidP="008322BB">
      <w:pPr>
        <w:rPr>
          <w:rFonts w:ascii="Times New Roman" w:hAnsi="Times New Roman" w:cs="Times New Roman"/>
        </w:rPr>
      </w:pPr>
      <w:hyperlink r:id="rId19" w:history="1">
        <w:r w:rsidRPr="003F6B7E">
          <w:rPr>
            <w:rStyle w:val="Hyperlink"/>
            <w:rFonts w:ascii="Times New Roman" w:hAnsi="Times New Roman" w:cs="Times New Roman"/>
          </w:rPr>
          <w:t>Saunders v Woolard</w:t>
        </w:r>
      </w:hyperlink>
      <w:r w:rsidRPr="003F6B7E">
        <w:rPr>
          <w:rFonts w:ascii="Times New Roman" w:hAnsi="Times New Roman" w:cs="Times New Roman"/>
        </w:rPr>
        <w:t xml:space="preserve">, COA25-182 (N.C. Ct.  App. Aug. 5, 2026) (per curiam) (Pasquotank). Injured employee accepted workers compensation benefits from employer, then sued third-party tortfeasor for the same injuries in superior court. Third-party tortfeasor and employee agreed on an amount to settle the claim and requested employer’s consent. Employer refused to consent. “Employee moved … for the court to determine the amount of Employer’s subrogation lien, if any.” Slip op. at 2. The trial court found that the employer’s subrogation lien on the settlement </w:t>
      </w:r>
      <w:r w:rsidRPr="003F6B7E">
        <w:rPr>
          <w:rFonts w:ascii="Times New Roman" w:hAnsi="Times New Roman" w:cs="Times New Roman"/>
        </w:rPr>
        <w:lastRenderedPageBreak/>
        <w:t xml:space="preserve">proceeds was worth zero. The employer and its workers compensation insurance carrier appealed. </w:t>
      </w:r>
    </w:p>
    <w:p w14:paraId="49E030AC" w14:textId="77777777" w:rsidR="006A76D8" w:rsidRPr="003F6B7E" w:rsidRDefault="006A76D8" w:rsidP="008322BB">
      <w:pPr>
        <w:rPr>
          <w:rFonts w:ascii="Times New Roman" w:hAnsi="Times New Roman" w:cs="Times New Roman"/>
        </w:rPr>
      </w:pPr>
    </w:p>
    <w:p w14:paraId="0833F27F" w14:textId="46CA9BF5" w:rsidR="008322BB" w:rsidRPr="003F6B7E" w:rsidRDefault="008322BB" w:rsidP="008322BB">
      <w:pPr>
        <w:rPr>
          <w:rFonts w:ascii="Times New Roman" w:hAnsi="Times New Roman" w:cs="Times New Roman"/>
        </w:rPr>
      </w:pPr>
      <w:r w:rsidRPr="003F6B7E">
        <w:rPr>
          <w:rFonts w:ascii="Times New Roman" w:hAnsi="Times New Roman" w:cs="Times New Roman"/>
        </w:rPr>
        <w:t xml:space="preserve">The </w:t>
      </w:r>
      <w:r w:rsidR="006A76D8" w:rsidRPr="003F6B7E">
        <w:rPr>
          <w:rFonts w:ascii="Times New Roman" w:hAnsi="Times New Roman" w:cs="Times New Roman"/>
        </w:rPr>
        <w:t xml:space="preserve">NCCOA </w:t>
      </w:r>
      <w:r w:rsidRPr="003F6B7E">
        <w:rPr>
          <w:rFonts w:ascii="Times New Roman" w:hAnsi="Times New Roman" w:cs="Times New Roman"/>
        </w:rPr>
        <w:t xml:space="preserve">reasoned that when an injured employee recovers a judgment or reaches a settlement with a third-party tortfeasor, G.S. 97-10.2(h) grants the employer a lien on the settlement. Such a settlement is enforceable with the employer’s consent. If the employer does not consent, a settlement may be enforceable under limited circumstances. G.S. 97-10.2(j) allows a settlement to be enforceable if the superior court determines the amount of the employer’s subrogation lien on the settlement proceeds, but the superior court only has subject matter jurisdiction to make that determination if the settlement is final. The settlement is only final if it is not contingent on review of the superior court; in other words, the settlement agreement must be complete so that all that is left </w:t>
      </w:r>
      <w:r w:rsidR="003D672E">
        <w:rPr>
          <w:rFonts w:ascii="Times New Roman" w:hAnsi="Times New Roman" w:cs="Times New Roman"/>
        </w:rPr>
        <w:t xml:space="preserve">to bind the parties </w:t>
      </w:r>
      <w:r w:rsidRPr="003F6B7E">
        <w:rPr>
          <w:rFonts w:ascii="Times New Roman" w:hAnsi="Times New Roman" w:cs="Times New Roman"/>
        </w:rPr>
        <w:t xml:space="preserve">is performance. This case is controlled by </w:t>
      </w:r>
      <w:r w:rsidRPr="003F6B7E">
        <w:rPr>
          <w:rFonts w:ascii="Times New Roman" w:hAnsi="Times New Roman" w:cs="Times New Roman"/>
          <w:i/>
          <w:iCs/>
        </w:rPr>
        <w:t>Ales v. T.A. Loving Co.</w:t>
      </w:r>
      <w:r w:rsidRPr="003F6B7E">
        <w:rPr>
          <w:rFonts w:ascii="Times New Roman" w:hAnsi="Times New Roman" w:cs="Times New Roman"/>
        </w:rPr>
        <w:t xml:space="preserve">, 163 N.C. App. 350, 353 (2004). “We interpret N.C. Gen.Stat. § 97–10.2(j) as permitting the superior court to adjust the amount of a subrogation lien if the agreement between the parties has been finalized so that only performance of the agreement is necessary to bind the parties. An agreement containing a condition precedent which must be fulfilled before either party is bound to the contract terms does not give the trial court jurisdiction under N.C. Gen.Stat. § 97–10.2(j).” The panel in </w:t>
      </w:r>
      <w:r w:rsidRPr="003F6B7E">
        <w:rPr>
          <w:rFonts w:ascii="Times New Roman" w:hAnsi="Times New Roman" w:cs="Times New Roman"/>
          <w:i/>
          <w:iCs/>
        </w:rPr>
        <w:t>Saunders</w:t>
      </w:r>
      <w:r w:rsidRPr="003F6B7E">
        <w:rPr>
          <w:rFonts w:ascii="Times New Roman" w:hAnsi="Times New Roman" w:cs="Times New Roman"/>
        </w:rPr>
        <w:t xml:space="preserve"> considered that the holding in </w:t>
      </w:r>
      <w:r w:rsidRPr="003F6B7E">
        <w:rPr>
          <w:rFonts w:ascii="Times New Roman" w:hAnsi="Times New Roman" w:cs="Times New Roman"/>
          <w:i/>
          <w:iCs/>
        </w:rPr>
        <w:t>Ales</w:t>
      </w:r>
      <w:r w:rsidRPr="003F6B7E">
        <w:rPr>
          <w:rFonts w:ascii="Times New Roman" w:hAnsi="Times New Roman" w:cs="Times New Roman"/>
        </w:rPr>
        <w:t xml:space="preserve"> has been criticized by a later panel of the court of appeals for making it more difficult for employees and third-party tortfeasors to reach a settlement agreement but recognized that it was bound by </w:t>
      </w:r>
      <w:r w:rsidRPr="003F6B7E">
        <w:rPr>
          <w:rFonts w:ascii="Times New Roman" w:hAnsi="Times New Roman" w:cs="Times New Roman"/>
          <w:i/>
          <w:iCs/>
        </w:rPr>
        <w:t>Ales</w:t>
      </w:r>
      <w:r w:rsidRPr="003F6B7E">
        <w:rPr>
          <w:rFonts w:ascii="Times New Roman" w:hAnsi="Times New Roman" w:cs="Times New Roman"/>
        </w:rPr>
        <w:t xml:space="preserve"> under </w:t>
      </w:r>
      <w:r w:rsidRPr="003F6B7E">
        <w:rPr>
          <w:rFonts w:ascii="Times New Roman" w:hAnsi="Times New Roman" w:cs="Times New Roman"/>
          <w:i/>
          <w:iCs/>
        </w:rPr>
        <w:t>In re Civil Penalty</w:t>
      </w:r>
      <w:r w:rsidRPr="003F6B7E">
        <w:rPr>
          <w:rFonts w:ascii="Times New Roman" w:hAnsi="Times New Roman" w:cs="Times New Roman"/>
        </w:rPr>
        <w:t xml:space="preserve">, 324 N.C. 373 (1989). </w:t>
      </w:r>
    </w:p>
    <w:p w14:paraId="5E941F6A" w14:textId="77777777" w:rsidR="00F6597C" w:rsidRPr="003F6B7E" w:rsidRDefault="00F6597C" w:rsidP="00306C04">
      <w:pPr>
        <w:rPr>
          <w:rFonts w:ascii="Times New Roman" w:hAnsi="Times New Roman" w:cs="Times New Roman"/>
        </w:rPr>
      </w:pPr>
    </w:p>
    <w:sectPr w:rsidR="00F6597C" w:rsidRPr="003F6B7E">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72943" w14:textId="77777777" w:rsidR="004B7753" w:rsidRDefault="004B7753" w:rsidP="007A63FC">
      <w:pPr>
        <w:spacing w:line="240" w:lineRule="auto"/>
      </w:pPr>
      <w:r>
        <w:separator/>
      </w:r>
    </w:p>
  </w:endnote>
  <w:endnote w:type="continuationSeparator" w:id="0">
    <w:p w14:paraId="4A77B459" w14:textId="77777777" w:rsidR="004B7753" w:rsidRDefault="004B7753" w:rsidP="007A63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60382"/>
      <w:docPartObj>
        <w:docPartGallery w:val="Page Numbers (Bottom of Page)"/>
        <w:docPartUnique/>
      </w:docPartObj>
    </w:sdtPr>
    <w:sdtEndPr>
      <w:rPr>
        <w:noProof/>
      </w:rPr>
    </w:sdtEndPr>
    <w:sdtContent>
      <w:p w14:paraId="0A0ED998" w14:textId="7DDBF325" w:rsidR="007A63FC" w:rsidRDefault="007A63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8A8BFE" w14:textId="77777777" w:rsidR="007A63FC" w:rsidRDefault="007A6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45C3E" w14:textId="77777777" w:rsidR="004B7753" w:rsidRDefault="004B7753" w:rsidP="007A63FC">
      <w:pPr>
        <w:spacing w:line="240" w:lineRule="auto"/>
      </w:pPr>
      <w:r>
        <w:separator/>
      </w:r>
    </w:p>
  </w:footnote>
  <w:footnote w:type="continuationSeparator" w:id="0">
    <w:p w14:paraId="72DC6274" w14:textId="77777777" w:rsidR="004B7753" w:rsidRDefault="004B7753" w:rsidP="007A63F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065"/>
    <w:rsid w:val="00001107"/>
    <w:rsid w:val="000055E8"/>
    <w:rsid w:val="00013349"/>
    <w:rsid w:val="00016643"/>
    <w:rsid w:val="00023568"/>
    <w:rsid w:val="000239EB"/>
    <w:rsid w:val="00024158"/>
    <w:rsid w:val="000246D1"/>
    <w:rsid w:val="00030C15"/>
    <w:rsid w:val="00033FD3"/>
    <w:rsid w:val="00037338"/>
    <w:rsid w:val="000376BE"/>
    <w:rsid w:val="0004221D"/>
    <w:rsid w:val="00043225"/>
    <w:rsid w:val="0005763C"/>
    <w:rsid w:val="00060929"/>
    <w:rsid w:val="00061975"/>
    <w:rsid w:val="00062DD7"/>
    <w:rsid w:val="0006733C"/>
    <w:rsid w:val="00084DEB"/>
    <w:rsid w:val="00087C22"/>
    <w:rsid w:val="00091C8B"/>
    <w:rsid w:val="00094EEB"/>
    <w:rsid w:val="00094F51"/>
    <w:rsid w:val="000952BB"/>
    <w:rsid w:val="00096A21"/>
    <w:rsid w:val="00097134"/>
    <w:rsid w:val="000A332C"/>
    <w:rsid w:val="000A558C"/>
    <w:rsid w:val="000A5C80"/>
    <w:rsid w:val="000B03EF"/>
    <w:rsid w:val="000B08AB"/>
    <w:rsid w:val="000B0D31"/>
    <w:rsid w:val="000B341B"/>
    <w:rsid w:val="000B6AD7"/>
    <w:rsid w:val="000C1139"/>
    <w:rsid w:val="000C1F05"/>
    <w:rsid w:val="000C4B1B"/>
    <w:rsid w:val="000D1083"/>
    <w:rsid w:val="000D2BAA"/>
    <w:rsid w:val="000D4165"/>
    <w:rsid w:val="000D4FA6"/>
    <w:rsid w:val="000E78D2"/>
    <w:rsid w:val="000F1AAA"/>
    <w:rsid w:val="000F5278"/>
    <w:rsid w:val="000F6F30"/>
    <w:rsid w:val="00104A5E"/>
    <w:rsid w:val="00104AD4"/>
    <w:rsid w:val="00106DE7"/>
    <w:rsid w:val="0011071A"/>
    <w:rsid w:val="0012675E"/>
    <w:rsid w:val="00131F38"/>
    <w:rsid w:val="00140050"/>
    <w:rsid w:val="00143DBA"/>
    <w:rsid w:val="00144145"/>
    <w:rsid w:val="00147D92"/>
    <w:rsid w:val="001523D4"/>
    <w:rsid w:val="001525E7"/>
    <w:rsid w:val="001574F5"/>
    <w:rsid w:val="001608CF"/>
    <w:rsid w:val="00160B70"/>
    <w:rsid w:val="00160C1C"/>
    <w:rsid w:val="00161CDD"/>
    <w:rsid w:val="00164EF4"/>
    <w:rsid w:val="00165023"/>
    <w:rsid w:val="00166EDA"/>
    <w:rsid w:val="00172900"/>
    <w:rsid w:val="001743B4"/>
    <w:rsid w:val="00174AE8"/>
    <w:rsid w:val="00175989"/>
    <w:rsid w:val="001818BF"/>
    <w:rsid w:val="00182ADE"/>
    <w:rsid w:val="00182B84"/>
    <w:rsid w:val="00186B9E"/>
    <w:rsid w:val="0019220F"/>
    <w:rsid w:val="001938B8"/>
    <w:rsid w:val="001A24AF"/>
    <w:rsid w:val="001A473D"/>
    <w:rsid w:val="001B4D97"/>
    <w:rsid w:val="001B7761"/>
    <w:rsid w:val="001C7833"/>
    <w:rsid w:val="001D14BF"/>
    <w:rsid w:val="001D239B"/>
    <w:rsid w:val="001E0443"/>
    <w:rsid w:val="001E3F60"/>
    <w:rsid w:val="001E4ED0"/>
    <w:rsid w:val="001E79F2"/>
    <w:rsid w:val="001F283B"/>
    <w:rsid w:val="001F551C"/>
    <w:rsid w:val="001F7EF6"/>
    <w:rsid w:val="0020142E"/>
    <w:rsid w:val="00205971"/>
    <w:rsid w:val="00215A5A"/>
    <w:rsid w:val="00216A50"/>
    <w:rsid w:val="002219C7"/>
    <w:rsid w:val="00223C1A"/>
    <w:rsid w:val="0022532C"/>
    <w:rsid w:val="00234586"/>
    <w:rsid w:val="00235962"/>
    <w:rsid w:val="002412A1"/>
    <w:rsid w:val="00242A72"/>
    <w:rsid w:val="00245739"/>
    <w:rsid w:val="00250B68"/>
    <w:rsid w:val="00256D1D"/>
    <w:rsid w:val="002578A0"/>
    <w:rsid w:val="00260C42"/>
    <w:rsid w:val="002615E0"/>
    <w:rsid w:val="00266C42"/>
    <w:rsid w:val="0027734A"/>
    <w:rsid w:val="00281CA0"/>
    <w:rsid w:val="002838EC"/>
    <w:rsid w:val="00284288"/>
    <w:rsid w:val="00286CCD"/>
    <w:rsid w:val="00287488"/>
    <w:rsid w:val="00287FCD"/>
    <w:rsid w:val="002A2FA7"/>
    <w:rsid w:val="002A57D7"/>
    <w:rsid w:val="002A7D76"/>
    <w:rsid w:val="002B19D1"/>
    <w:rsid w:val="002B1D15"/>
    <w:rsid w:val="002B226E"/>
    <w:rsid w:val="002B32ED"/>
    <w:rsid w:val="002B40F6"/>
    <w:rsid w:val="002B79C9"/>
    <w:rsid w:val="002C590B"/>
    <w:rsid w:val="002D21BA"/>
    <w:rsid w:val="002D67C1"/>
    <w:rsid w:val="002E0291"/>
    <w:rsid w:val="002E032B"/>
    <w:rsid w:val="002E2CEA"/>
    <w:rsid w:val="002F46EF"/>
    <w:rsid w:val="002F5F9E"/>
    <w:rsid w:val="003020FF"/>
    <w:rsid w:val="00302F4A"/>
    <w:rsid w:val="00306C04"/>
    <w:rsid w:val="003100CE"/>
    <w:rsid w:val="0031061D"/>
    <w:rsid w:val="00311B7C"/>
    <w:rsid w:val="00312074"/>
    <w:rsid w:val="00314CA0"/>
    <w:rsid w:val="003160C6"/>
    <w:rsid w:val="00317AFC"/>
    <w:rsid w:val="003207FF"/>
    <w:rsid w:val="00324767"/>
    <w:rsid w:val="003255CD"/>
    <w:rsid w:val="00325F22"/>
    <w:rsid w:val="00326551"/>
    <w:rsid w:val="00327956"/>
    <w:rsid w:val="00330E3E"/>
    <w:rsid w:val="00331577"/>
    <w:rsid w:val="00333E69"/>
    <w:rsid w:val="00335418"/>
    <w:rsid w:val="00337C9C"/>
    <w:rsid w:val="00341952"/>
    <w:rsid w:val="00341D0E"/>
    <w:rsid w:val="00341DB2"/>
    <w:rsid w:val="00343354"/>
    <w:rsid w:val="0034392D"/>
    <w:rsid w:val="00345292"/>
    <w:rsid w:val="0034574B"/>
    <w:rsid w:val="00346C64"/>
    <w:rsid w:val="003515F6"/>
    <w:rsid w:val="00355958"/>
    <w:rsid w:val="00355E72"/>
    <w:rsid w:val="003561C3"/>
    <w:rsid w:val="00362B34"/>
    <w:rsid w:val="00370CFF"/>
    <w:rsid w:val="0037271D"/>
    <w:rsid w:val="00380390"/>
    <w:rsid w:val="00380BD5"/>
    <w:rsid w:val="00383541"/>
    <w:rsid w:val="0038644C"/>
    <w:rsid w:val="003867E6"/>
    <w:rsid w:val="003A3597"/>
    <w:rsid w:val="003C3FF3"/>
    <w:rsid w:val="003D0FAA"/>
    <w:rsid w:val="003D2DDA"/>
    <w:rsid w:val="003D3592"/>
    <w:rsid w:val="003D3CD4"/>
    <w:rsid w:val="003D672E"/>
    <w:rsid w:val="003D6C63"/>
    <w:rsid w:val="003D72D3"/>
    <w:rsid w:val="003E01FF"/>
    <w:rsid w:val="003E079A"/>
    <w:rsid w:val="003E4487"/>
    <w:rsid w:val="003E5583"/>
    <w:rsid w:val="003F2978"/>
    <w:rsid w:val="003F3675"/>
    <w:rsid w:val="003F3DB7"/>
    <w:rsid w:val="003F6B7E"/>
    <w:rsid w:val="004009FD"/>
    <w:rsid w:val="00401B4C"/>
    <w:rsid w:val="00403FE4"/>
    <w:rsid w:val="00411837"/>
    <w:rsid w:val="004130E4"/>
    <w:rsid w:val="004159AF"/>
    <w:rsid w:val="004177CE"/>
    <w:rsid w:val="00417FE4"/>
    <w:rsid w:val="0042067F"/>
    <w:rsid w:val="004213D1"/>
    <w:rsid w:val="00424906"/>
    <w:rsid w:val="00426E72"/>
    <w:rsid w:val="0043095F"/>
    <w:rsid w:val="00431C1C"/>
    <w:rsid w:val="00436261"/>
    <w:rsid w:val="00436A07"/>
    <w:rsid w:val="00440AEC"/>
    <w:rsid w:val="00450BD1"/>
    <w:rsid w:val="0045500B"/>
    <w:rsid w:val="00456461"/>
    <w:rsid w:val="00461319"/>
    <w:rsid w:val="00461540"/>
    <w:rsid w:val="00473025"/>
    <w:rsid w:val="00474621"/>
    <w:rsid w:val="00475D16"/>
    <w:rsid w:val="00476D0F"/>
    <w:rsid w:val="00477D65"/>
    <w:rsid w:val="00480F93"/>
    <w:rsid w:val="00481FE2"/>
    <w:rsid w:val="0048449A"/>
    <w:rsid w:val="00486D3C"/>
    <w:rsid w:val="00492AC6"/>
    <w:rsid w:val="004A1163"/>
    <w:rsid w:val="004A6F65"/>
    <w:rsid w:val="004B5BC5"/>
    <w:rsid w:val="004B7753"/>
    <w:rsid w:val="004C5625"/>
    <w:rsid w:val="004D12C4"/>
    <w:rsid w:val="004D1D6F"/>
    <w:rsid w:val="004D6AC2"/>
    <w:rsid w:val="004D6C09"/>
    <w:rsid w:val="004E361C"/>
    <w:rsid w:val="004E53CB"/>
    <w:rsid w:val="004E5A0F"/>
    <w:rsid w:val="004E76D3"/>
    <w:rsid w:val="004F1AC3"/>
    <w:rsid w:val="004F1F58"/>
    <w:rsid w:val="004F2F8D"/>
    <w:rsid w:val="004F6576"/>
    <w:rsid w:val="004F7F68"/>
    <w:rsid w:val="005002B3"/>
    <w:rsid w:val="00500BDE"/>
    <w:rsid w:val="005018CE"/>
    <w:rsid w:val="00505487"/>
    <w:rsid w:val="0051266A"/>
    <w:rsid w:val="0051570C"/>
    <w:rsid w:val="005161C5"/>
    <w:rsid w:val="00517081"/>
    <w:rsid w:val="00520247"/>
    <w:rsid w:val="00520B5D"/>
    <w:rsid w:val="0053030D"/>
    <w:rsid w:val="00532A5A"/>
    <w:rsid w:val="005332DE"/>
    <w:rsid w:val="0053526B"/>
    <w:rsid w:val="00535C8F"/>
    <w:rsid w:val="00537F9A"/>
    <w:rsid w:val="005418DD"/>
    <w:rsid w:val="00550869"/>
    <w:rsid w:val="00553A78"/>
    <w:rsid w:val="0055782D"/>
    <w:rsid w:val="005628FA"/>
    <w:rsid w:val="00563BB2"/>
    <w:rsid w:val="00566EEB"/>
    <w:rsid w:val="005731A6"/>
    <w:rsid w:val="0057776A"/>
    <w:rsid w:val="00584A46"/>
    <w:rsid w:val="00587BEA"/>
    <w:rsid w:val="00590F6E"/>
    <w:rsid w:val="00594D3C"/>
    <w:rsid w:val="005974F4"/>
    <w:rsid w:val="0059782A"/>
    <w:rsid w:val="005A3B13"/>
    <w:rsid w:val="005A4322"/>
    <w:rsid w:val="005C1734"/>
    <w:rsid w:val="005C1B9B"/>
    <w:rsid w:val="005D1572"/>
    <w:rsid w:val="005D3F09"/>
    <w:rsid w:val="005D4BCB"/>
    <w:rsid w:val="005D5C2A"/>
    <w:rsid w:val="005E0405"/>
    <w:rsid w:val="005E5D6D"/>
    <w:rsid w:val="005E69EE"/>
    <w:rsid w:val="005F60AE"/>
    <w:rsid w:val="006008C0"/>
    <w:rsid w:val="0060595E"/>
    <w:rsid w:val="0060616F"/>
    <w:rsid w:val="00606203"/>
    <w:rsid w:val="0061311A"/>
    <w:rsid w:val="00614B89"/>
    <w:rsid w:val="00617C3F"/>
    <w:rsid w:val="00620EAB"/>
    <w:rsid w:val="0062137B"/>
    <w:rsid w:val="006236CE"/>
    <w:rsid w:val="006263F7"/>
    <w:rsid w:val="006330D6"/>
    <w:rsid w:val="00637AA0"/>
    <w:rsid w:val="00645FF1"/>
    <w:rsid w:val="00651A2F"/>
    <w:rsid w:val="006605FE"/>
    <w:rsid w:val="00663A06"/>
    <w:rsid w:val="00670523"/>
    <w:rsid w:val="00677042"/>
    <w:rsid w:val="00680426"/>
    <w:rsid w:val="0068391C"/>
    <w:rsid w:val="0069347A"/>
    <w:rsid w:val="006A37A2"/>
    <w:rsid w:val="006A76D8"/>
    <w:rsid w:val="006C0683"/>
    <w:rsid w:val="006C1A1A"/>
    <w:rsid w:val="006C3A36"/>
    <w:rsid w:val="006D5475"/>
    <w:rsid w:val="006E1BB5"/>
    <w:rsid w:val="006E2FC9"/>
    <w:rsid w:val="007001DA"/>
    <w:rsid w:val="007014B9"/>
    <w:rsid w:val="00703EE1"/>
    <w:rsid w:val="00705D04"/>
    <w:rsid w:val="007126F0"/>
    <w:rsid w:val="0071303A"/>
    <w:rsid w:val="007140A8"/>
    <w:rsid w:val="00722E96"/>
    <w:rsid w:val="0073349A"/>
    <w:rsid w:val="007348B3"/>
    <w:rsid w:val="007349FB"/>
    <w:rsid w:val="00742B5F"/>
    <w:rsid w:val="00745EBA"/>
    <w:rsid w:val="007527F3"/>
    <w:rsid w:val="0075289F"/>
    <w:rsid w:val="00752B38"/>
    <w:rsid w:val="00753576"/>
    <w:rsid w:val="00754800"/>
    <w:rsid w:val="00756BD8"/>
    <w:rsid w:val="007570F1"/>
    <w:rsid w:val="00757286"/>
    <w:rsid w:val="0075799B"/>
    <w:rsid w:val="00765367"/>
    <w:rsid w:val="0077174F"/>
    <w:rsid w:val="00772367"/>
    <w:rsid w:val="00773A45"/>
    <w:rsid w:val="00780910"/>
    <w:rsid w:val="00781E18"/>
    <w:rsid w:val="0078418C"/>
    <w:rsid w:val="00784FF1"/>
    <w:rsid w:val="007874C8"/>
    <w:rsid w:val="00787BED"/>
    <w:rsid w:val="00790B89"/>
    <w:rsid w:val="007A038C"/>
    <w:rsid w:val="007A0675"/>
    <w:rsid w:val="007A0DB4"/>
    <w:rsid w:val="007A25D7"/>
    <w:rsid w:val="007A2CC9"/>
    <w:rsid w:val="007A416A"/>
    <w:rsid w:val="007A63FC"/>
    <w:rsid w:val="007B2C18"/>
    <w:rsid w:val="007B63AE"/>
    <w:rsid w:val="007C10A6"/>
    <w:rsid w:val="007C68F8"/>
    <w:rsid w:val="007D0CE7"/>
    <w:rsid w:val="007D652E"/>
    <w:rsid w:val="007E13EF"/>
    <w:rsid w:val="007E23F6"/>
    <w:rsid w:val="007E29C2"/>
    <w:rsid w:val="007E70D0"/>
    <w:rsid w:val="007F240B"/>
    <w:rsid w:val="007F36B9"/>
    <w:rsid w:val="007F4BE8"/>
    <w:rsid w:val="007F5F69"/>
    <w:rsid w:val="007F6D0F"/>
    <w:rsid w:val="00802828"/>
    <w:rsid w:val="00805426"/>
    <w:rsid w:val="00815382"/>
    <w:rsid w:val="008159B5"/>
    <w:rsid w:val="00821739"/>
    <w:rsid w:val="00821C26"/>
    <w:rsid w:val="008224AC"/>
    <w:rsid w:val="008322BB"/>
    <w:rsid w:val="008346CD"/>
    <w:rsid w:val="00836E89"/>
    <w:rsid w:val="008422CF"/>
    <w:rsid w:val="00844586"/>
    <w:rsid w:val="00845AC2"/>
    <w:rsid w:val="008504CD"/>
    <w:rsid w:val="0085097A"/>
    <w:rsid w:val="00851C71"/>
    <w:rsid w:val="00855A8B"/>
    <w:rsid w:val="0086303B"/>
    <w:rsid w:val="00865637"/>
    <w:rsid w:val="008727C3"/>
    <w:rsid w:val="00875B86"/>
    <w:rsid w:val="00880C06"/>
    <w:rsid w:val="008819C0"/>
    <w:rsid w:val="0088252E"/>
    <w:rsid w:val="00885063"/>
    <w:rsid w:val="00885FB7"/>
    <w:rsid w:val="00893476"/>
    <w:rsid w:val="00895394"/>
    <w:rsid w:val="0089699F"/>
    <w:rsid w:val="008A1A3E"/>
    <w:rsid w:val="008A315E"/>
    <w:rsid w:val="008B1F6D"/>
    <w:rsid w:val="008B2224"/>
    <w:rsid w:val="008B7D9A"/>
    <w:rsid w:val="008C0739"/>
    <w:rsid w:val="008C174C"/>
    <w:rsid w:val="008C3214"/>
    <w:rsid w:val="008C36A6"/>
    <w:rsid w:val="008C5EC3"/>
    <w:rsid w:val="008D127E"/>
    <w:rsid w:val="008E2540"/>
    <w:rsid w:val="008E3989"/>
    <w:rsid w:val="008F14EB"/>
    <w:rsid w:val="008F51BF"/>
    <w:rsid w:val="008F7EEA"/>
    <w:rsid w:val="0090463A"/>
    <w:rsid w:val="00910FB0"/>
    <w:rsid w:val="009132ED"/>
    <w:rsid w:val="00914CA3"/>
    <w:rsid w:val="0091663D"/>
    <w:rsid w:val="009250CB"/>
    <w:rsid w:val="0092592E"/>
    <w:rsid w:val="00930342"/>
    <w:rsid w:val="00930F0E"/>
    <w:rsid w:val="009317FD"/>
    <w:rsid w:val="0093203E"/>
    <w:rsid w:val="00933F3D"/>
    <w:rsid w:val="00936A2A"/>
    <w:rsid w:val="00944190"/>
    <w:rsid w:val="00946C8C"/>
    <w:rsid w:val="009478F4"/>
    <w:rsid w:val="009612A9"/>
    <w:rsid w:val="009613E6"/>
    <w:rsid w:val="00964246"/>
    <w:rsid w:val="009675BE"/>
    <w:rsid w:val="0097250C"/>
    <w:rsid w:val="0097333E"/>
    <w:rsid w:val="00977006"/>
    <w:rsid w:val="009779BF"/>
    <w:rsid w:val="00981AB2"/>
    <w:rsid w:val="0098698F"/>
    <w:rsid w:val="009915D6"/>
    <w:rsid w:val="00992833"/>
    <w:rsid w:val="00995AD7"/>
    <w:rsid w:val="00996F8A"/>
    <w:rsid w:val="00997EC6"/>
    <w:rsid w:val="009A04DE"/>
    <w:rsid w:val="009A2287"/>
    <w:rsid w:val="009A4FC3"/>
    <w:rsid w:val="009A5416"/>
    <w:rsid w:val="009D0937"/>
    <w:rsid w:val="009D0C05"/>
    <w:rsid w:val="009D41B0"/>
    <w:rsid w:val="009E2A46"/>
    <w:rsid w:val="009E2E73"/>
    <w:rsid w:val="009E66CB"/>
    <w:rsid w:val="009F017D"/>
    <w:rsid w:val="009F0C1E"/>
    <w:rsid w:val="00A01755"/>
    <w:rsid w:val="00A02C0A"/>
    <w:rsid w:val="00A03D43"/>
    <w:rsid w:val="00A05DFE"/>
    <w:rsid w:val="00A07C08"/>
    <w:rsid w:val="00A14D24"/>
    <w:rsid w:val="00A14F47"/>
    <w:rsid w:val="00A15D6A"/>
    <w:rsid w:val="00A160F2"/>
    <w:rsid w:val="00A20723"/>
    <w:rsid w:val="00A24CCE"/>
    <w:rsid w:val="00A25049"/>
    <w:rsid w:val="00A2752D"/>
    <w:rsid w:val="00A2796D"/>
    <w:rsid w:val="00A27971"/>
    <w:rsid w:val="00A31B01"/>
    <w:rsid w:val="00A34705"/>
    <w:rsid w:val="00A42EC6"/>
    <w:rsid w:val="00A44F64"/>
    <w:rsid w:val="00A45350"/>
    <w:rsid w:val="00A453B2"/>
    <w:rsid w:val="00A4577E"/>
    <w:rsid w:val="00A534D1"/>
    <w:rsid w:val="00A647A3"/>
    <w:rsid w:val="00A6577E"/>
    <w:rsid w:val="00A65FD7"/>
    <w:rsid w:val="00A679EB"/>
    <w:rsid w:val="00A73032"/>
    <w:rsid w:val="00A773F4"/>
    <w:rsid w:val="00A80E3A"/>
    <w:rsid w:val="00A81200"/>
    <w:rsid w:val="00A81CFE"/>
    <w:rsid w:val="00A81D39"/>
    <w:rsid w:val="00A82998"/>
    <w:rsid w:val="00A83190"/>
    <w:rsid w:val="00A84AC0"/>
    <w:rsid w:val="00A854D8"/>
    <w:rsid w:val="00A86021"/>
    <w:rsid w:val="00A86780"/>
    <w:rsid w:val="00A87906"/>
    <w:rsid w:val="00A95013"/>
    <w:rsid w:val="00A95DA7"/>
    <w:rsid w:val="00AA04BF"/>
    <w:rsid w:val="00AA6F9A"/>
    <w:rsid w:val="00AA733C"/>
    <w:rsid w:val="00AA7ABB"/>
    <w:rsid w:val="00AB1783"/>
    <w:rsid w:val="00AC23B5"/>
    <w:rsid w:val="00AC4F5B"/>
    <w:rsid w:val="00AC57EE"/>
    <w:rsid w:val="00AC7B11"/>
    <w:rsid w:val="00AD10EE"/>
    <w:rsid w:val="00AD3D71"/>
    <w:rsid w:val="00AD5E0E"/>
    <w:rsid w:val="00AD67D7"/>
    <w:rsid w:val="00AD6C9E"/>
    <w:rsid w:val="00AE23FD"/>
    <w:rsid w:val="00AE257C"/>
    <w:rsid w:val="00AE57BF"/>
    <w:rsid w:val="00AE58EA"/>
    <w:rsid w:val="00AE6C88"/>
    <w:rsid w:val="00AF13B5"/>
    <w:rsid w:val="00AF5648"/>
    <w:rsid w:val="00AF6220"/>
    <w:rsid w:val="00AF7B76"/>
    <w:rsid w:val="00B06B45"/>
    <w:rsid w:val="00B075BD"/>
    <w:rsid w:val="00B07D08"/>
    <w:rsid w:val="00B11A6C"/>
    <w:rsid w:val="00B1324E"/>
    <w:rsid w:val="00B13CC4"/>
    <w:rsid w:val="00B17915"/>
    <w:rsid w:val="00B21569"/>
    <w:rsid w:val="00B21B6D"/>
    <w:rsid w:val="00B223FC"/>
    <w:rsid w:val="00B257B5"/>
    <w:rsid w:val="00B25E38"/>
    <w:rsid w:val="00B27562"/>
    <w:rsid w:val="00B30F67"/>
    <w:rsid w:val="00B30FCB"/>
    <w:rsid w:val="00B33766"/>
    <w:rsid w:val="00B35B84"/>
    <w:rsid w:val="00B36E83"/>
    <w:rsid w:val="00B40656"/>
    <w:rsid w:val="00B41FA2"/>
    <w:rsid w:val="00B42F46"/>
    <w:rsid w:val="00B46B50"/>
    <w:rsid w:val="00B523B1"/>
    <w:rsid w:val="00B535EF"/>
    <w:rsid w:val="00B60944"/>
    <w:rsid w:val="00B639AE"/>
    <w:rsid w:val="00B63E7B"/>
    <w:rsid w:val="00B65146"/>
    <w:rsid w:val="00B67F0B"/>
    <w:rsid w:val="00B70B6C"/>
    <w:rsid w:val="00B7488F"/>
    <w:rsid w:val="00B77B41"/>
    <w:rsid w:val="00B96EF2"/>
    <w:rsid w:val="00BA0042"/>
    <w:rsid w:val="00BA007C"/>
    <w:rsid w:val="00BA7855"/>
    <w:rsid w:val="00BB4B0E"/>
    <w:rsid w:val="00BC085E"/>
    <w:rsid w:val="00BD1E2B"/>
    <w:rsid w:val="00BD3741"/>
    <w:rsid w:val="00BD3A95"/>
    <w:rsid w:val="00BD55EB"/>
    <w:rsid w:val="00BD7A6F"/>
    <w:rsid w:val="00BD7C1A"/>
    <w:rsid w:val="00BF096D"/>
    <w:rsid w:val="00BF0D70"/>
    <w:rsid w:val="00BF4C81"/>
    <w:rsid w:val="00BF6B6A"/>
    <w:rsid w:val="00C00021"/>
    <w:rsid w:val="00C012E4"/>
    <w:rsid w:val="00C063D3"/>
    <w:rsid w:val="00C10A18"/>
    <w:rsid w:val="00C21268"/>
    <w:rsid w:val="00C2136D"/>
    <w:rsid w:val="00C21837"/>
    <w:rsid w:val="00C22256"/>
    <w:rsid w:val="00C22EFA"/>
    <w:rsid w:val="00C308B9"/>
    <w:rsid w:val="00C32EE7"/>
    <w:rsid w:val="00C372E9"/>
    <w:rsid w:val="00C40183"/>
    <w:rsid w:val="00C40258"/>
    <w:rsid w:val="00C4763C"/>
    <w:rsid w:val="00C50755"/>
    <w:rsid w:val="00C547C1"/>
    <w:rsid w:val="00C60694"/>
    <w:rsid w:val="00C60865"/>
    <w:rsid w:val="00C6329A"/>
    <w:rsid w:val="00C74BC0"/>
    <w:rsid w:val="00C74EE6"/>
    <w:rsid w:val="00C832CD"/>
    <w:rsid w:val="00C83A1D"/>
    <w:rsid w:val="00C91E5D"/>
    <w:rsid w:val="00CA23B8"/>
    <w:rsid w:val="00CA2F84"/>
    <w:rsid w:val="00CB0059"/>
    <w:rsid w:val="00CB0777"/>
    <w:rsid w:val="00CB2D13"/>
    <w:rsid w:val="00CC3E2D"/>
    <w:rsid w:val="00CC67A3"/>
    <w:rsid w:val="00CD44A4"/>
    <w:rsid w:val="00CE0D51"/>
    <w:rsid w:val="00CE1E18"/>
    <w:rsid w:val="00CF1708"/>
    <w:rsid w:val="00CF1839"/>
    <w:rsid w:val="00CF471F"/>
    <w:rsid w:val="00D0433D"/>
    <w:rsid w:val="00D055F7"/>
    <w:rsid w:val="00D136FB"/>
    <w:rsid w:val="00D142D9"/>
    <w:rsid w:val="00D23299"/>
    <w:rsid w:val="00D23489"/>
    <w:rsid w:val="00D25849"/>
    <w:rsid w:val="00D325B1"/>
    <w:rsid w:val="00D34829"/>
    <w:rsid w:val="00D40B33"/>
    <w:rsid w:val="00D42628"/>
    <w:rsid w:val="00D452AF"/>
    <w:rsid w:val="00D471AD"/>
    <w:rsid w:val="00D53232"/>
    <w:rsid w:val="00D56640"/>
    <w:rsid w:val="00D604AC"/>
    <w:rsid w:val="00D6470F"/>
    <w:rsid w:val="00D72FF8"/>
    <w:rsid w:val="00D749E0"/>
    <w:rsid w:val="00D75630"/>
    <w:rsid w:val="00D7569D"/>
    <w:rsid w:val="00D75B05"/>
    <w:rsid w:val="00D85A59"/>
    <w:rsid w:val="00D85B2E"/>
    <w:rsid w:val="00D86A03"/>
    <w:rsid w:val="00D90AF5"/>
    <w:rsid w:val="00D94D6D"/>
    <w:rsid w:val="00D9649F"/>
    <w:rsid w:val="00D96F81"/>
    <w:rsid w:val="00DA2E1F"/>
    <w:rsid w:val="00DA2EC7"/>
    <w:rsid w:val="00DA43C8"/>
    <w:rsid w:val="00DA45F0"/>
    <w:rsid w:val="00DA6AB3"/>
    <w:rsid w:val="00DB03CB"/>
    <w:rsid w:val="00DB1F32"/>
    <w:rsid w:val="00DB3018"/>
    <w:rsid w:val="00DB3323"/>
    <w:rsid w:val="00DB6FEF"/>
    <w:rsid w:val="00DC1DB7"/>
    <w:rsid w:val="00DC2068"/>
    <w:rsid w:val="00DC3E36"/>
    <w:rsid w:val="00DD1C40"/>
    <w:rsid w:val="00DD2110"/>
    <w:rsid w:val="00DD285D"/>
    <w:rsid w:val="00DD500C"/>
    <w:rsid w:val="00DD6BA1"/>
    <w:rsid w:val="00DE5059"/>
    <w:rsid w:val="00DE6405"/>
    <w:rsid w:val="00DE7711"/>
    <w:rsid w:val="00DF1F31"/>
    <w:rsid w:val="00DF6BEC"/>
    <w:rsid w:val="00E04994"/>
    <w:rsid w:val="00E0796A"/>
    <w:rsid w:val="00E1128E"/>
    <w:rsid w:val="00E163CA"/>
    <w:rsid w:val="00E20233"/>
    <w:rsid w:val="00E23C8B"/>
    <w:rsid w:val="00E24044"/>
    <w:rsid w:val="00E25371"/>
    <w:rsid w:val="00E26118"/>
    <w:rsid w:val="00E27581"/>
    <w:rsid w:val="00E301A0"/>
    <w:rsid w:val="00E327BB"/>
    <w:rsid w:val="00E35B08"/>
    <w:rsid w:val="00E37134"/>
    <w:rsid w:val="00E419DE"/>
    <w:rsid w:val="00E41B53"/>
    <w:rsid w:val="00E42FC9"/>
    <w:rsid w:val="00E45DF0"/>
    <w:rsid w:val="00E57BA4"/>
    <w:rsid w:val="00E614F4"/>
    <w:rsid w:val="00E62731"/>
    <w:rsid w:val="00E658BD"/>
    <w:rsid w:val="00E74065"/>
    <w:rsid w:val="00E759C6"/>
    <w:rsid w:val="00E81E5A"/>
    <w:rsid w:val="00EA23E0"/>
    <w:rsid w:val="00EA5CFF"/>
    <w:rsid w:val="00EB5589"/>
    <w:rsid w:val="00EC1018"/>
    <w:rsid w:val="00EC18DA"/>
    <w:rsid w:val="00EC7771"/>
    <w:rsid w:val="00ED49DD"/>
    <w:rsid w:val="00ED790B"/>
    <w:rsid w:val="00EE0011"/>
    <w:rsid w:val="00EE1C52"/>
    <w:rsid w:val="00EE2BF7"/>
    <w:rsid w:val="00EE4DC2"/>
    <w:rsid w:val="00EE570B"/>
    <w:rsid w:val="00EE6B0E"/>
    <w:rsid w:val="00EF040B"/>
    <w:rsid w:val="00EF255E"/>
    <w:rsid w:val="00F03C11"/>
    <w:rsid w:val="00F03E35"/>
    <w:rsid w:val="00F04388"/>
    <w:rsid w:val="00F05A2C"/>
    <w:rsid w:val="00F070A8"/>
    <w:rsid w:val="00F101C4"/>
    <w:rsid w:val="00F26745"/>
    <w:rsid w:val="00F27EA7"/>
    <w:rsid w:val="00F3027E"/>
    <w:rsid w:val="00F328BD"/>
    <w:rsid w:val="00F32A1E"/>
    <w:rsid w:val="00F34EB5"/>
    <w:rsid w:val="00F37FC8"/>
    <w:rsid w:val="00F52A75"/>
    <w:rsid w:val="00F53040"/>
    <w:rsid w:val="00F5438E"/>
    <w:rsid w:val="00F651F8"/>
    <w:rsid w:val="00F6597C"/>
    <w:rsid w:val="00F718BF"/>
    <w:rsid w:val="00F8263E"/>
    <w:rsid w:val="00F82E48"/>
    <w:rsid w:val="00F87C74"/>
    <w:rsid w:val="00F91E2F"/>
    <w:rsid w:val="00F956A2"/>
    <w:rsid w:val="00F96FD6"/>
    <w:rsid w:val="00FA3437"/>
    <w:rsid w:val="00FA4B53"/>
    <w:rsid w:val="00FA5621"/>
    <w:rsid w:val="00FA5C68"/>
    <w:rsid w:val="00FA643F"/>
    <w:rsid w:val="00FB16DE"/>
    <w:rsid w:val="00FB26A5"/>
    <w:rsid w:val="00FB26EB"/>
    <w:rsid w:val="00FB2BDD"/>
    <w:rsid w:val="00FB2EC4"/>
    <w:rsid w:val="00FB42FC"/>
    <w:rsid w:val="00FC2AD2"/>
    <w:rsid w:val="00FC534A"/>
    <w:rsid w:val="00FC5FB4"/>
    <w:rsid w:val="00FC60AA"/>
    <w:rsid w:val="00FC75F1"/>
    <w:rsid w:val="00FC7DF0"/>
    <w:rsid w:val="00FD1283"/>
    <w:rsid w:val="00FD35C6"/>
    <w:rsid w:val="00FD3E35"/>
    <w:rsid w:val="00FD482B"/>
    <w:rsid w:val="00FD5966"/>
    <w:rsid w:val="00FE3FAB"/>
    <w:rsid w:val="00FE7833"/>
    <w:rsid w:val="00FF0523"/>
    <w:rsid w:val="00FF16CC"/>
    <w:rsid w:val="00FF45CB"/>
    <w:rsid w:val="00FF5CE9"/>
    <w:rsid w:val="00FF66ED"/>
    <w:rsid w:val="00FF7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0903"/>
  <w15:chartTrackingRefBased/>
  <w15:docId w15:val="{6F2E8867-589C-4535-B5DB-21BDA4A6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5F6"/>
    <w:pPr>
      <w:spacing w:after="0" w:line="480" w:lineRule="auto"/>
    </w:pPr>
    <w:rPr>
      <w:rFonts w:ascii="Garamond" w:hAnsi="Garamond"/>
    </w:rPr>
  </w:style>
  <w:style w:type="paragraph" w:styleId="Heading1">
    <w:name w:val="heading 1"/>
    <w:basedOn w:val="Normal"/>
    <w:next w:val="Normal"/>
    <w:link w:val="Heading1Char"/>
    <w:uiPriority w:val="9"/>
    <w:qFormat/>
    <w:rsid w:val="00930F0E"/>
    <w:pPr>
      <w:keepNext/>
      <w:keepLines/>
      <w:spacing w:before="240"/>
      <w:outlineLvl w:val="0"/>
    </w:pPr>
    <w:rPr>
      <w:rFonts w:eastAsiaTheme="majorEastAsia" w:cstheme="majorBidi"/>
      <w:color w:val="0F4761" w:themeColor="accent1" w:themeShade="BF"/>
      <w:sz w:val="40"/>
      <w:szCs w:val="32"/>
    </w:rPr>
  </w:style>
  <w:style w:type="paragraph" w:styleId="Heading2">
    <w:name w:val="heading 2"/>
    <w:basedOn w:val="Normal"/>
    <w:next w:val="Normal"/>
    <w:link w:val="Heading2Char"/>
    <w:uiPriority w:val="9"/>
    <w:unhideWhenUsed/>
    <w:qFormat/>
    <w:rsid w:val="003515F6"/>
    <w:pPr>
      <w:keepNext/>
      <w:keepLines/>
      <w:spacing w:before="40"/>
      <w:outlineLvl w:val="1"/>
    </w:pPr>
    <w:rPr>
      <w:rFonts w:eastAsiaTheme="majorEastAsia" w:cstheme="majorBidi"/>
      <w:color w:val="0F4761" w:themeColor="accent1" w:themeShade="BF"/>
      <w:sz w:val="28"/>
      <w:szCs w:val="26"/>
    </w:rPr>
  </w:style>
  <w:style w:type="paragraph" w:styleId="Heading3">
    <w:name w:val="heading 3"/>
    <w:basedOn w:val="Normal"/>
    <w:next w:val="Normal"/>
    <w:link w:val="Heading3Char"/>
    <w:uiPriority w:val="9"/>
    <w:semiHidden/>
    <w:unhideWhenUsed/>
    <w:qFormat/>
    <w:rsid w:val="0050548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548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0548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0548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0548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0548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0548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F0E"/>
    <w:rPr>
      <w:rFonts w:ascii="Garamond" w:eastAsiaTheme="majorEastAsia" w:hAnsi="Garamond" w:cstheme="majorBidi"/>
      <w:color w:val="0F4761" w:themeColor="accent1" w:themeShade="BF"/>
      <w:sz w:val="40"/>
      <w:szCs w:val="32"/>
    </w:rPr>
  </w:style>
  <w:style w:type="character" w:customStyle="1" w:styleId="Heading2Char">
    <w:name w:val="Heading 2 Char"/>
    <w:basedOn w:val="DefaultParagraphFont"/>
    <w:link w:val="Heading2"/>
    <w:uiPriority w:val="9"/>
    <w:rsid w:val="003515F6"/>
    <w:rPr>
      <w:rFonts w:ascii="Garamond" w:eastAsiaTheme="majorEastAsia" w:hAnsi="Garamond" w:cstheme="majorBidi"/>
      <w:color w:val="0F4761" w:themeColor="accent1" w:themeShade="BF"/>
      <w:sz w:val="28"/>
      <w:szCs w:val="26"/>
    </w:rPr>
  </w:style>
  <w:style w:type="paragraph" w:styleId="Title">
    <w:name w:val="Title"/>
    <w:basedOn w:val="Normal"/>
    <w:next w:val="Normal"/>
    <w:link w:val="TitleChar"/>
    <w:uiPriority w:val="10"/>
    <w:qFormat/>
    <w:rsid w:val="00930F0E"/>
    <w:pPr>
      <w:spacing w:line="240" w:lineRule="auto"/>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930F0E"/>
    <w:rPr>
      <w:rFonts w:ascii="Garamond" w:eastAsiaTheme="majorEastAsia" w:hAnsi="Garamond" w:cstheme="majorBidi"/>
      <w:spacing w:val="-10"/>
      <w:kern w:val="28"/>
      <w:sz w:val="44"/>
      <w:szCs w:val="56"/>
    </w:rPr>
  </w:style>
  <w:style w:type="character" w:customStyle="1" w:styleId="Heading3Char">
    <w:name w:val="Heading 3 Char"/>
    <w:basedOn w:val="DefaultParagraphFont"/>
    <w:link w:val="Heading3"/>
    <w:uiPriority w:val="9"/>
    <w:semiHidden/>
    <w:rsid w:val="005054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54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54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54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54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54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5487"/>
    <w:rPr>
      <w:rFonts w:eastAsiaTheme="majorEastAsia" w:cstheme="majorBidi"/>
      <w:color w:val="272727" w:themeColor="text1" w:themeTint="D8"/>
    </w:rPr>
  </w:style>
  <w:style w:type="paragraph" w:styleId="Subtitle">
    <w:name w:val="Subtitle"/>
    <w:basedOn w:val="Normal"/>
    <w:next w:val="Normal"/>
    <w:link w:val="SubtitleChar"/>
    <w:uiPriority w:val="11"/>
    <w:qFormat/>
    <w:rsid w:val="0050548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4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54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5487"/>
    <w:rPr>
      <w:rFonts w:ascii="Garamond" w:hAnsi="Garamond"/>
      <w:i/>
      <w:iCs/>
      <w:color w:val="404040" w:themeColor="text1" w:themeTint="BF"/>
    </w:rPr>
  </w:style>
  <w:style w:type="paragraph" w:styleId="ListParagraph">
    <w:name w:val="List Paragraph"/>
    <w:basedOn w:val="Normal"/>
    <w:uiPriority w:val="34"/>
    <w:qFormat/>
    <w:rsid w:val="00505487"/>
    <w:pPr>
      <w:ind w:left="720"/>
      <w:contextualSpacing/>
    </w:pPr>
  </w:style>
  <w:style w:type="character" w:styleId="IntenseEmphasis">
    <w:name w:val="Intense Emphasis"/>
    <w:basedOn w:val="DefaultParagraphFont"/>
    <w:uiPriority w:val="21"/>
    <w:qFormat/>
    <w:rsid w:val="00505487"/>
    <w:rPr>
      <w:i/>
      <w:iCs/>
      <w:color w:val="0F4761" w:themeColor="accent1" w:themeShade="BF"/>
    </w:rPr>
  </w:style>
  <w:style w:type="paragraph" w:styleId="IntenseQuote">
    <w:name w:val="Intense Quote"/>
    <w:basedOn w:val="Normal"/>
    <w:next w:val="Normal"/>
    <w:link w:val="IntenseQuoteChar"/>
    <w:uiPriority w:val="30"/>
    <w:qFormat/>
    <w:rsid w:val="005054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5487"/>
    <w:rPr>
      <w:rFonts w:ascii="Garamond" w:hAnsi="Garamond"/>
      <w:i/>
      <w:iCs/>
      <w:color w:val="0F4761" w:themeColor="accent1" w:themeShade="BF"/>
    </w:rPr>
  </w:style>
  <w:style w:type="character" w:styleId="IntenseReference">
    <w:name w:val="Intense Reference"/>
    <w:basedOn w:val="DefaultParagraphFont"/>
    <w:uiPriority w:val="32"/>
    <w:qFormat/>
    <w:rsid w:val="00505487"/>
    <w:rPr>
      <w:b/>
      <w:bCs/>
      <w:smallCaps/>
      <w:color w:val="0F4761" w:themeColor="accent1" w:themeShade="BF"/>
      <w:spacing w:val="5"/>
    </w:rPr>
  </w:style>
  <w:style w:type="character" w:styleId="Hyperlink">
    <w:name w:val="Hyperlink"/>
    <w:basedOn w:val="DefaultParagraphFont"/>
    <w:uiPriority w:val="99"/>
    <w:unhideWhenUsed/>
    <w:rsid w:val="00355958"/>
    <w:rPr>
      <w:color w:val="467886" w:themeColor="hyperlink"/>
      <w:u w:val="single"/>
    </w:rPr>
  </w:style>
  <w:style w:type="character" w:styleId="UnresolvedMention">
    <w:name w:val="Unresolved Mention"/>
    <w:basedOn w:val="DefaultParagraphFont"/>
    <w:uiPriority w:val="99"/>
    <w:semiHidden/>
    <w:unhideWhenUsed/>
    <w:rsid w:val="00355958"/>
    <w:rPr>
      <w:color w:val="605E5C"/>
      <w:shd w:val="clear" w:color="auto" w:fill="E1DFDD"/>
    </w:rPr>
  </w:style>
  <w:style w:type="character" w:styleId="FollowedHyperlink">
    <w:name w:val="FollowedHyperlink"/>
    <w:basedOn w:val="DefaultParagraphFont"/>
    <w:uiPriority w:val="99"/>
    <w:semiHidden/>
    <w:unhideWhenUsed/>
    <w:rsid w:val="000B341B"/>
    <w:rPr>
      <w:color w:val="96607D" w:themeColor="followedHyperlink"/>
      <w:u w:val="single"/>
    </w:rPr>
  </w:style>
  <w:style w:type="paragraph" w:styleId="Header">
    <w:name w:val="header"/>
    <w:basedOn w:val="Normal"/>
    <w:link w:val="HeaderChar"/>
    <w:uiPriority w:val="99"/>
    <w:unhideWhenUsed/>
    <w:rsid w:val="007A63FC"/>
    <w:pPr>
      <w:tabs>
        <w:tab w:val="center" w:pos="4680"/>
        <w:tab w:val="right" w:pos="9360"/>
      </w:tabs>
      <w:spacing w:line="240" w:lineRule="auto"/>
    </w:pPr>
  </w:style>
  <w:style w:type="character" w:customStyle="1" w:styleId="HeaderChar">
    <w:name w:val="Header Char"/>
    <w:basedOn w:val="DefaultParagraphFont"/>
    <w:link w:val="Header"/>
    <w:uiPriority w:val="99"/>
    <w:rsid w:val="007A63FC"/>
    <w:rPr>
      <w:rFonts w:ascii="Garamond" w:hAnsi="Garamond"/>
    </w:rPr>
  </w:style>
  <w:style w:type="paragraph" w:styleId="Footer">
    <w:name w:val="footer"/>
    <w:basedOn w:val="Normal"/>
    <w:link w:val="FooterChar"/>
    <w:uiPriority w:val="99"/>
    <w:unhideWhenUsed/>
    <w:rsid w:val="007A63FC"/>
    <w:pPr>
      <w:tabs>
        <w:tab w:val="center" w:pos="4680"/>
        <w:tab w:val="right" w:pos="9360"/>
      </w:tabs>
      <w:spacing w:line="240" w:lineRule="auto"/>
    </w:pPr>
  </w:style>
  <w:style w:type="character" w:customStyle="1" w:styleId="FooterChar">
    <w:name w:val="Footer Char"/>
    <w:basedOn w:val="DefaultParagraphFont"/>
    <w:link w:val="Footer"/>
    <w:uiPriority w:val="99"/>
    <w:rsid w:val="007A63FC"/>
    <w:rPr>
      <w:rFonts w:ascii="Garamond" w:hAnsi="Garamond"/>
    </w:rPr>
  </w:style>
  <w:style w:type="paragraph" w:styleId="TOCHeading">
    <w:name w:val="TOC Heading"/>
    <w:basedOn w:val="Heading1"/>
    <w:next w:val="Normal"/>
    <w:uiPriority w:val="39"/>
    <w:unhideWhenUsed/>
    <w:qFormat/>
    <w:rsid w:val="00964246"/>
    <w:pPr>
      <w:spacing w:line="259" w:lineRule="auto"/>
      <w:outlineLvl w:val="9"/>
    </w:pPr>
    <w:rPr>
      <w:rFonts w:asciiTheme="majorHAnsi" w:hAnsiTheme="majorHAnsi"/>
      <w:kern w:val="0"/>
      <w:sz w:val="32"/>
      <w14:ligatures w14:val="none"/>
    </w:rPr>
  </w:style>
  <w:style w:type="paragraph" w:styleId="TOC1">
    <w:name w:val="toc 1"/>
    <w:basedOn w:val="Normal"/>
    <w:next w:val="Normal"/>
    <w:autoRedefine/>
    <w:uiPriority w:val="39"/>
    <w:unhideWhenUsed/>
    <w:rsid w:val="00964246"/>
    <w:pPr>
      <w:spacing w:after="100"/>
    </w:pPr>
  </w:style>
  <w:style w:type="paragraph" w:styleId="TOC2">
    <w:name w:val="toc 2"/>
    <w:basedOn w:val="Normal"/>
    <w:next w:val="Normal"/>
    <w:autoRedefine/>
    <w:uiPriority w:val="39"/>
    <w:unhideWhenUsed/>
    <w:rsid w:val="0096424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ellate.nccourts.org/opinions/?c=2&amp;pdf=44986" TargetMode="External"/><Relationship Id="rId13" Type="http://schemas.openxmlformats.org/officeDocument/2006/relationships/hyperlink" Target="https://appellate.nccourts.org/opinions/?c=2&amp;pdf=45666" TargetMode="External"/><Relationship Id="rId18" Type="http://schemas.openxmlformats.org/officeDocument/2006/relationships/hyperlink" Target="https://appellate.nccourts.org/opinions/?c=2&amp;pdf=4595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ppellate.nccourts.org/opinions/?c=2&amp;pdf=45697" TargetMode="External"/><Relationship Id="rId12" Type="http://schemas.openxmlformats.org/officeDocument/2006/relationships/hyperlink" Target="https://appellate.nccourts.org/opinions/?c=1&amp;pdf=46058" TargetMode="External"/><Relationship Id="rId17" Type="http://schemas.openxmlformats.org/officeDocument/2006/relationships/hyperlink" Target="https://appellate.nccourts.org/opinions/?c=2&amp;pdf=45712" TargetMode="External"/><Relationship Id="rId2" Type="http://schemas.openxmlformats.org/officeDocument/2006/relationships/styles" Target="styles.xml"/><Relationship Id="rId16" Type="http://schemas.openxmlformats.org/officeDocument/2006/relationships/hyperlink" Target="https://appellate.nccourts.org/opinions/?c=2&amp;pdf=4583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ppellate.nccourts.org/opinions/?c=2&amp;pdf=45601" TargetMode="External"/><Relationship Id="rId5" Type="http://schemas.openxmlformats.org/officeDocument/2006/relationships/footnotes" Target="footnotes.xml"/><Relationship Id="rId15" Type="http://schemas.openxmlformats.org/officeDocument/2006/relationships/hyperlink" Target="https://appellate.nccourts.org/opinions/?c=1&amp;pdf=46068" TargetMode="External"/><Relationship Id="rId10" Type="http://schemas.openxmlformats.org/officeDocument/2006/relationships/hyperlink" Target="https://appellate.nccourts.org/opinions/?c=2&amp;pdf=46077" TargetMode="External"/><Relationship Id="rId19" Type="http://schemas.openxmlformats.org/officeDocument/2006/relationships/hyperlink" Target="https://appellate.nccourts.org/opinions/?c=2&amp;pdf=44961" TargetMode="External"/><Relationship Id="rId4" Type="http://schemas.openxmlformats.org/officeDocument/2006/relationships/webSettings" Target="webSettings.xml"/><Relationship Id="rId9" Type="http://schemas.openxmlformats.org/officeDocument/2006/relationships/hyperlink" Target="https://appellate.nccourts.org/opinions/?c=2&amp;pdf=45944" TargetMode="External"/><Relationship Id="rId14" Type="http://schemas.openxmlformats.org/officeDocument/2006/relationships/hyperlink" Target="https://appellate.nccourts.org/opinions/?c=1&amp;pdf=46066"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aizure\AppData\Roaming\Microsoft\Templates\Civil%20Procedure%20Case%20Upd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37548-2644-406F-ABBF-AF8E72615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Civil Procedure Case Update</Template>
  <TotalTime>23</TotalTime>
  <Pages>20</Pages>
  <Words>5783</Words>
  <Characters>32969</Characters>
  <Application>Microsoft Office Word</Application>
  <DocSecurity>0</DocSecurity>
  <Lines>274</Lines>
  <Paragraphs>77</Paragraphs>
  <ScaleCrop>false</ScaleCrop>
  <Company/>
  <LinksUpToDate>false</LinksUpToDate>
  <CharactersWithSpaces>38675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Laizure</dc:creator>
  <cp:keywords/>
  <dc:description/>
  <cp:lastModifiedBy>Laizure, Joseph Patrick</cp:lastModifiedBy>
  <cp:revision>3</cp:revision>
  <dcterms:created xsi:type="dcterms:W3CDTF">2026-10-07T18:38:00Z</dcterms:created>
  <dcterms:modified xsi:type="dcterms:W3CDTF">2026-10-10T14:29:00Z</dcterms:modified>
</cp:coreProperties>
</file>