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C1BD9" w14:textId="77777777" w:rsidR="00BA0C6C" w:rsidRDefault="00BA0C6C" w:rsidP="005E6E22">
      <w:pPr>
        <w:spacing w:after="0" w:line="240" w:lineRule="auto"/>
        <w:jc w:val="center"/>
        <w:rPr>
          <w:rFonts w:asciiTheme="minorHAnsi" w:hAnsiTheme="minorHAnsi" w:cs="Times New Roman"/>
          <w:b/>
          <w:bCs w:val="0"/>
          <w:sz w:val="32"/>
          <w:szCs w:val="32"/>
        </w:rPr>
      </w:pPr>
      <w:r w:rsidRPr="005E6E22">
        <w:rPr>
          <w:rFonts w:asciiTheme="minorHAnsi" w:hAnsiTheme="minorHAnsi" w:cs="Times New Roman"/>
          <w:b/>
          <w:bCs w:val="0"/>
          <w:sz w:val="32"/>
          <w:szCs w:val="32"/>
        </w:rPr>
        <w:t>Criminal Case Update</w:t>
      </w:r>
    </w:p>
    <w:p w14:paraId="5A9456AA" w14:textId="77777777" w:rsidR="00190B47" w:rsidRDefault="00190B47" w:rsidP="004C5BE3">
      <w:pPr>
        <w:spacing w:after="0" w:line="240" w:lineRule="auto"/>
        <w:rPr>
          <w:rFonts w:asciiTheme="minorHAnsi" w:hAnsiTheme="minorHAnsi" w:cs="Times New Roman"/>
          <w:sz w:val="22"/>
          <w:szCs w:val="22"/>
        </w:rPr>
      </w:pPr>
    </w:p>
    <w:p w14:paraId="632944B8" w14:textId="2252B91D" w:rsidR="00B42802" w:rsidRDefault="00190B47" w:rsidP="004C5BE3">
      <w:pPr>
        <w:spacing w:after="0" w:line="240" w:lineRule="auto"/>
        <w:rPr>
          <w:rFonts w:asciiTheme="minorHAnsi" w:hAnsiTheme="minorHAnsi" w:cs="Times New Roman"/>
          <w:sz w:val="22"/>
          <w:szCs w:val="22"/>
        </w:rPr>
      </w:pPr>
      <w:r>
        <w:rPr>
          <w:rFonts w:asciiTheme="minorHAnsi" w:hAnsiTheme="minorHAnsi" w:cs="Times New Roman"/>
          <w:sz w:val="22"/>
          <w:szCs w:val="22"/>
        </w:rPr>
        <w:t>Shea Denning</w:t>
      </w:r>
    </w:p>
    <w:p w14:paraId="40230805" w14:textId="2161356F" w:rsidR="00190B47" w:rsidRDefault="00190B47" w:rsidP="004C5BE3">
      <w:pPr>
        <w:spacing w:after="0" w:line="240" w:lineRule="auto"/>
        <w:rPr>
          <w:rFonts w:asciiTheme="minorHAnsi" w:hAnsiTheme="minorHAnsi" w:cs="Times New Roman"/>
          <w:sz w:val="22"/>
          <w:szCs w:val="22"/>
        </w:rPr>
      </w:pPr>
      <w:r>
        <w:rPr>
          <w:rFonts w:asciiTheme="minorHAnsi" w:hAnsiTheme="minorHAnsi" w:cs="Times New Roman"/>
          <w:sz w:val="22"/>
          <w:szCs w:val="22"/>
        </w:rPr>
        <w:t>Jamie Markham</w:t>
      </w:r>
    </w:p>
    <w:p w14:paraId="0C498C8C" w14:textId="0D76D193" w:rsidR="00190B47" w:rsidRDefault="00190B47" w:rsidP="004C5BE3">
      <w:pPr>
        <w:spacing w:after="0" w:line="240" w:lineRule="auto"/>
        <w:rPr>
          <w:rFonts w:asciiTheme="minorHAnsi" w:hAnsiTheme="minorHAnsi" w:cs="Times New Roman"/>
          <w:sz w:val="22"/>
          <w:szCs w:val="22"/>
        </w:rPr>
      </w:pPr>
      <w:r>
        <w:rPr>
          <w:rFonts w:asciiTheme="minorHAnsi" w:hAnsiTheme="minorHAnsi" w:cs="Times New Roman"/>
          <w:sz w:val="22"/>
          <w:szCs w:val="22"/>
        </w:rPr>
        <w:t>UNC School of Government</w:t>
      </w:r>
    </w:p>
    <w:p w14:paraId="42C442C1" w14:textId="77777777" w:rsidR="006A3452" w:rsidRPr="005E6E22" w:rsidRDefault="006A3452" w:rsidP="005E6E22">
      <w:pPr>
        <w:spacing w:after="0" w:line="240" w:lineRule="auto"/>
        <w:jc w:val="center"/>
        <w:rPr>
          <w:rFonts w:asciiTheme="minorHAnsi" w:hAnsiTheme="minorHAnsi" w:cs="Times New Roman"/>
          <w:b/>
          <w:bCs w:val="0"/>
        </w:rPr>
      </w:pPr>
    </w:p>
    <w:p w14:paraId="0EF51E50" w14:textId="4DBF9BCB" w:rsidR="00BA0C6C" w:rsidRPr="005E6E22" w:rsidRDefault="00BA0C6C" w:rsidP="005E6E22">
      <w:pPr>
        <w:spacing w:after="0" w:line="240" w:lineRule="auto"/>
        <w:rPr>
          <w:rFonts w:asciiTheme="minorHAnsi" w:hAnsiTheme="minorHAnsi" w:cs="Times New Roman"/>
        </w:rPr>
      </w:pPr>
      <w:r w:rsidRPr="005E6E22">
        <w:rPr>
          <w:rFonts w:asciiTheme="minorHAnsi" w:hAnsiTheme="minorHAnsi" w:cs="Times New Roman"/>
        </w:rPr>
        <w:t xml:space="preserve">This handout includes </w:t>
      </w:r>
      <w:r w:rsidR="00190B47">
        <w:rPr>
          <w:rFonts w:asciiTheme="minorHAnsi" w:hAnsiTheme="minorHAnsi" w:cs="Times New Roman"/>
        </w:rPr>
        <w:t xml:space="preserve">summaries of </w:t>
      </w:r>
      <w:r w:rsidRPr="005E6E22">
        <w:rPr>
          <w:rFonts w:asciiTheme="minorHAnsi" w:hAnsiTheme="minorHAnsi" w:cs="Times New Roman"/>
        </w:rPr>
        <w:t>the cases flagged for discussion at the 202</w:t>
      </w:r>
      <w:r w:rsidR="00F97982" w:rsidRPr="005E6E22">
        <w:rPr>
          <w:rFonts w:asciiTheme="minorHAnsi" w:hAnsiTheme="minorHAnsi" w:cs="Times New Roman"/>
        </w:rPr>
        <w:t>6</w:t>
      </w:r>
      <w:r w:rsidRPr="005E6E22">
        <w:rPr>
          <w:rFonts w:asciiTheme="minorHAnsi" w:hAnsiTheme="minorHAnsi" w:cs="Times New Roman"/>
        </w:rPr>
        <w:t xml:space="preserve"> </w:t>
      </w:r>
      <w:r w:rsidR="00190B47">
        <w:rPr>
          <w:rFonts w:asciiTheme="minorHAnsi" w:hAnsiTheme="minorHAnsi" w:cs="Times New Roman"/>
        </w:rPr>
        <w:t>Superior Court Judges Fall Conference</w:t>
      </w:r>
      <w:r w:rsidRPr="005E6E22">
        <w:rPr>
          <w:rFonts w:asciiTheme="minorHAnsi" w:hAnsiTheme="minorHAnsi" w:cs="Times New Roman"/>
        </w:rPr>
        <w:t>.</w:t>
      </w:r>
      <w:r w:rsidR="00656E6C" w:rsidRPr="005E6E22">
        <w:rPr>
          <w:rFonts w:asciiTheme="minorHAnsi" w:hAnsiTheme="minorHAnsi" w:cs="Times New Roman"/>
        </w:rPr>
        <w:t xml:space="preserve"> </w:t>
      </w:r>
      <w:r w:rsidRPr="005E6E22">
        <w:rPr>
          <w:rFonts w:asciiTheme="minorHAnsi" w:hAnsiTheme="minorHAnsi" w:cs="Times New Roman"/>
        </w:rPr>
        <w:t>Cases covered include published opinions from the</w:t>
      </w:r>
      <w:r w:rsidR="008A3F94" w:rsidRPr="005E6E22">
        <w:rPr>
          <w:rFonts w:asciiTheme="minorHAnsi" w:hAnsiTheme="minorHAnsi" w:cs="Times New Roman"/>
        </w:rPr>
        <w:t xml:space="preserve"> United States Supreme Court and the</w:t>
      </w:r>
      <w:r w:rsidRPr="005E6E22">
        <w:rPr>
          <w:rFonts w:asciiTheme="minorHAnsi" w:hAnsiTheme="minorHAnsi" w:cs="Times New Roman"/>
        </w:rPr>
        <w:t xml:space="preserve"> North Carolina </w:t>
      </w:r>
      <w:r w:rsidR="008A3F94" w:rsidRPr="005E6E22">
        <w:rPr>
          <w:rFonts w:asciiTheme="minorHAnsi" w:hAnsiTheme="minorHAnsi" w:cs="Times New Roman"/>
        </w:rPr>
        <w:t>a</w:t>
      </w:r>
      <w:r w:rsidRPr="005E6E22">
        <w:rPr>
          <w:rFonts w:asciiTheme="minorHAnsi" w:hAnsiTheme="minorHAnsi" w:cs="Times New Roman"/>
        </w:rPr>
        <w:t xml:space="preserve">ppellate </w:t>
      </w:r>
      <w:r w:rsidR="008A3F94" w:rsidRPr="005E6E22">
        <w:rPr>
          <w:rFonts w:asciiTheme="minorHAnsi" w:hAnsiTheme="minorHAnsi" w:cs="Times New Roman"/>
        </w:rPr>
        <w:t>c</w:t>
      </w:r>
      <w:r w:rsidRPr="005E6E22">
        <w:rPr>
          <w:rFonts w:asciiTheme="minorHAnsi" w:hAnsiTheme="minorHAnsi" w:cs="Times New Roman"/>
        </w:rPr>
        <w:t xml:space="preserve">ourts from </w:t>
      </w:r>
      <w:r w:rsidR="00161481" w:rsidRPr="005E6E22">
        <w:rPr>
          <w:rFonts w:asciiTheme="minorHAnsi" w:hAnsiTheme="minorHAnsi" w:cs="Times New Roman"/>
        </w:rPr>
        <w:t xml:space="preserve">June 18, </w:t>
      </w:r>
      <w:proofErr w:type="gramStart"/>
      <w:r w:rsidR="00161481" w:rsidRPr="005E6E22">
        <w:rPr>
          <w:rFonts w:asciiTheme="minorHAnsi" w:hAnsiTheme="minorHAnsi" w:cs="Times New Roman"/>
        </w:rPr>
        <w:t>2026</w:t>
      </w:r>
      <w:proofErr w:type="gramEnd"/>
      <w:r w:rsidR="00161481" w:rsidRPr="005E6E22">
        <w:rPr>
          <w:rFonts w:asciiTheme="minorHAnsi" w:hAnsiTheme="minorHAnsi" w:cs="Times New Roman"/>
        </w:rPr>
        <w:t xml:space="preserve"> through </w:t>
      </w:r>
      <w:r w:rsidR="006F633B" w:rsidRPr="005E6E22">
        <w:rPr>
          <w:rFonts w:asciiTheme="minorHAnsi" w:hAnsiTheme="minorHAnsi" w:cs="Times New Roman"/>
        </w:rPr>
        <w:t>September 16, 2026.</w:t>
      </w:r>
    </w:p>
    <w:p w14:paraId="7582C8C3" w14:textId="77777777" w:rsidR="00343C16" w:rsidRPr="005E6E22" w:rsidRDefault="00343C16" w:rsidP="005E6E22">
      <w:pPr>
        <w:spacing w:after="0" w:line="240" w:lineRule="auto"/>
        <w:rPr>
          <w:rFonts w:asciiTheme="minorHAnsi" w:hAnsiTheme="minorHAnsi" w:cs="Times New Roman"/>
        </w:rPr>
      </w:pPr>
    </w:p>
    <w:p w14:paraId="786FFA4A" w14:textId="65B540C6" w:rsidR="00343C16" w:rsidRPr="005E6E22" w:rsidRDefault="00343C16" w:rsidP="005E6E22">
      <w:pPr>
        <w:spacing w:after="0" w:line="240" w:lineRule="auto"/>
        <w:rPr>
          <w:rFonts w:asciiTheme="minorHAnsi" w:hAnsiTheme="minorHAnsi" w:cs="Times New Roman"/>
          <w:b/>
          <w:bCs w:val="0"/>
        </w:rPr>
      </w:pPr>
      <w:r w:rsidRPr="005E6E22">
        <w:rPr>
          <w:rFonts w:asciiTheme="minorHAnsi" w:hAnsiTheme="minorHAnsi" w:cs="Times New Roman"/>
          <w:b/>
          <w:bCs w:val="0"/>
        </w:rPr>
        <w:t>Table of Contents</w:t>
      </w:r>
    </w:p>
    <w:p w14:paraId="3173A7A3" w14:textId="741F46E5" w:rsidR="00FD23A0" w:rsidRDefault="00343C16">
      <w:pPr>
        <w:pStyle w:val="TOC1"/>
        <w:rPr>
          <w:rFonts w:eastAsiaTheme="minorEastAsia"/>
          <w:bCs w:val="0"/>
          <w:kern w:val="2"/>
          <w14:ligatures w14:val="standardContextual"/>
        </w:rPr>
      </w:pPr>
      <w:r w:rsidRPr="005E6E22">
        <w:rPr>
          <w:rFonts w:cs="Times New Roman"/>
        </w:rPr>
        <w:fldChar w:fldCharType="begin"/>
      </w:r>
      <w:r w:rsidRPr="005E6E22">
        <w:rPr>
          <w:rFonts w:cs="Times New Roman"/>
        </w:rPr>
        <w:instrText xml:space="preserve"> TOC \o "1-2" \h \z \u </w:instrText>
      </w:r>
      <w:r w:rsidRPr="005E6E22">
        <w:rPr>
          <w:rFonts w:cs="Times New Roman"/>
        </w:rPr>
        <w:fldChar w:fldCharType="separate"/>
      </w:r>
      <w:hyperlink w:anchor="_Toc242024762" w:history="1">
        <w:r w:rsidR="00FD23A0" w:rsidRPr="005E759E">
          <w:rPr>
            <w:rStyle w:val="Hyperlink"/>
          </w:rPr>
          <w:t>Second Amendment</w:t>
        </w:r>
        <w:r w:rsidR="00FD23A0">
          <w:rPr>
            <w:webHidden/>
          </w:rPr>
          <w:tab/>
        </w:r>
        <w:r w:rsidR="00FD23A0">
          <w:rPr>
            <w:webHidden/>
          </w:rPr>
          <w:fldChar w:fldCharType="begin"/>
        </w:r>
        <w:r w:rsidR="00FD23A0">
          <w:rPr>
            <w:webHidden/>
          </w:rPr>
          <w:instrText xml:space="preserve"> PAGEREF _Toc242024762 \h </w:instrText>
        </w:r>
        <w:r w:rsidR="00FD23A0">
          <w:rPr>
            <w:webHidden/>
          </w:rPr>
        </w:r>
        <w:r w:rsidR="00FD23A0">
          <w:rPr>
            <w:webHidden/>
          </w:rPr>
          <w:fldChar w:fldCharType="separate"/>
        </w:r>
        <w:r w:rsidR="00FD23A0">
          <w:rPr>
            <w:webHidden/>
          </w:rPr>
          <w:t>2</w:t>
        </w:r>
        <w:r w:rsidR="00FD23A0">
          <w:rPr>
            <w:webHidden/>
          </w:rPr>
          <w:fldChar w:fldCharType="end"/>
        </w:r>
      </w:hyperlink>
    </w:p>
    <w:p w14:paraId="3CF2D68E" w14:textId="7BDC7679" w:rsidR="00FD23A0" w:rsidRDefault="00FD23A0">
      <w:pPr>
        <w:pStyle w:val="TOC1"/>
        <w:rPr>
          <w:rFonts w:eastAsiaTheme="minorEastAsia"/>
          <w:bCs w:val="0"/>
          <w:kern w:val="2"/>
          <w14:ligatures w14:val="standardContextual"/>
        </w:rPr>
      </w:pPr>
      <w:hyperlink w:anchor="_Toc242024763" w:history="1">
        <w:r w:rsidRPr="005E759E">
          <w:rPr>
            <w:rStyle w:val="Hyperlink"/>
          </w:rPr>
          <w:t>Search and Seizure</w:t>
        </w:r>
        <w:r>
          <w:rPr>
            <w:webHidden/>
          </w:rPr>
          <w:tab/>
        </w:r>
        <w:r>
          <w:rPr>
            <w:webHidden/>
          </w:rPr>
          <w:fldChar w:fldCharType="begin"/>
        </w:r>
        <w:r>
          <w:rPr>
            <w:webHidden/>
          </w:rPr>
          <w:instrText xml:space="preserve"> PAGEREF _Toc242024763 \h </w:instrText>
        </w:r>
        <w:r>
          <w:rPr>
            <w:webHidden/>
          </w:rPr>
        </w:r>
        <w:r>
          <w:rPr>
            <w:webHidden/>
          </w:rPr>
          <w:fldChar w:fldCharType="separate"/>
        </w:r>
        <w:r>
          <w:rPr>
            <w:webHidden/>
          </w:rPr>
          <w:t>6</w:t>
        </w:r>
        <w:r>
          <w:rPr>
            <w:webHidden/>
          </w:rPr>
          <w:fldChar w:fldCharType="end"/>
        </w:r>
      </w:hyperlink>
    </w:p>
    <w:p w14:paraId="4B1DE438" w14:textId="215FF9BF" w:rsidR="00FD23A0" w:rsidRDefault="00FD23A0">
      <w:pPr>
        <w:pStyle w:val="TOC1"/>
        <w:rPr>
          <w:rFonts w:eastAsiaTheme="minorEastAsia"/>
          <w:bCs w:val="0"/>
          <w:kern w:val="2"/>
          <w14:ligatures w14:val="standardContextual"/>
        </w:rPr>
      </w:pPr>
      <w:hyperlink w:anchor="_Toc242024764" w:history="1">
        <w:r w:rsidRPr="005E759E">
          <w:rPr>
            <w:rStyle w:val="Hyperlink"/>
          </w:rPr>
          <w:t>Criminal Procedure</w:t>
        </w:r>
        <w:r>
          <w:rPr>
            <w:webHidden/>
          </w:rPr>
          <w:tab/>
        </w:r>
        <w:r>
          <w:rPr>
            <w:webHidden/>
          </w:rPr>
          <w:fldChar w:fldCharType="begin"/>
        </w:r>
        <w:r>
          <w:rPr>
            <w:webHidden/>
          </w:rPr>
          <w:instrText xml:space="preserve"> PAGEREF _Toc242024764 \h </w:instrText>
        </w:r>
        <w:r>
          <w:rPr>
            <w:webHidden/>
          </w:rPr>
        </w:r>
        <w:r>
          <w:rPr>
            <w:webHidden/>
          </w:rPr>
          <w:fldChar w:fldCharType="separate"/>
        </w:r>
        <w:r>
          <w:rPr>
            <w:webHidden/>
          </w:rPr>
          <w:t>9</w:t>
        </w:r>
        <w:r>
          <w:rPr>
            <w:webHidden/>
          </w:rPr>
          <w:fldChar w:fldCharType="end"/>
        </w:r>
      </w:hyperlink>
    </w:p>
    <w:p w14:paraId="54C921FE" w14:textId="75D9296C" w:rsidR="00FD23A0" w:rsidRPr="00FD23A0" w:rsidRDefault="00FD23A0">
      <w:pPr>
        <w:pStyle w:val="TOC2"/>
        <w:rPr>
          <w:rFonts w:asciiTheme="minorHAnsi" w:eastAsiaTheme="minorEastAsia" w:hAnsiTheme="minorHAnsi"/>
          <w:bCs w:val="0"/>
          <w:noProof/>
          <w:kern w:val="2"/>
          <w14:ligatures w14:val="standardContextual"/>
        </w:rPr>
      </w:pPr>
      <w:hyperlink w:anchor="_Toc242024765" w:history="1">
        <w:r w:rsidRPr="00FD23A0">
          <w:rPr>
            <w:rStyle w:val="Hyperlink"/>
            <w:rFonts w:asciiTheme="minorHAnsi" w:hAnsiTheme="minorHAnsi"/>
            <w:noProof/>
          </w:rPr>
          <w:t>Indictment</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_Toc242024765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9</w:t>
        </w:r>
        <w:r w:rsidRPr="00FD23A0">
          <w:rPr>
            <w:rFonts w:asciiTheme="minorHAnsi" w:hAnsiTheme="minorHAnsi"/>
            <w:noProof/>
            <w:webHidden/>
          </w:rPr>
          <w:fldChar w:fldCharType="end"/>
        </w:r>
      </w:hyperlink>
    </w:p>
    <w:p w14:paraId="4329EB75" w14:textId="3A97A886" w:rsidR="00FD23A0" w:rsidRPr="00FD23A0" w:rsidRDefault="00FD23A0">
      <w:pPr>
        <w:pStyle w:val="TOC2"/>
        <w:rPr>
          <w:rFonts w:asciiTheme="minorHAnsi" w:eastAsiaTheme="minorEastAsia" w:hAnsiTheme="minorHAnsi"/>
          <w:bCs w:val="0"/>
          <w:noProof/>
          <w:kern w:val="2"/>
          <w14:ligatures w14:val="standardContextual"/>
        </w:rPr>
      </w:pPr>
      <w:hyperlink w:anchor="_Toc242024766" w:history="1">
        <w:r w:rsidRPr="00FD23A0">
          <w:rPr>
            <w:rStyle w:val="Hyperlink"/>
            <w:rFonts w:asciiTheme="minorHAnsi" w:hAnsiTheme="minorHAnsi"/>
            <w:noProof/>
          </w:rPr>
          <w:t>Dismissal of Charges</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_Toc242024766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11</w:t>
        </w:r>
        <w:r w:rsidRPr="00FD23A0">
          <w:rPr>
            <w:rFonts w:asciiTheme="minorHAnsi" w:hAnsiTheme="minorHAnsi"/>
            <w:noProof/>
            <w:webHidden/>
          </w:rPr>
          <w:fldChar w:fldCharType="end"/>
        </w:r>
      </w:hyperlink>
    </w:p>
    <w:p w14:paraId="3A3ACDB5" w14:textId="26EE1BDD" w:rsidR="00FD23A0" w:rsidRPr="00FD23A0" w:rsidRDefault="00FD23A0">
      <w:pPr>
        <w:pStyle w:val="TOC1"/>
        <w:rPr>
          <w:rFonts w:eastAsiaTheme="minorEastAsia"/>
          <w:bCs w:val="0"/>
          <w:kern w:val="2"/>
          <w14:ligatures w14:val="standardContextual"/>
        </w:rPr>
      </w:pPr>
      <w:hyperlink w:anchor="_Toc242024767" w:history="1">
        <w:r w:rsidRPr="00FD23A0">
          <w:rPr>
            <w:rStyle w:val="Hyperlink"/>
          </w:rPr>
          <w:t>Crimes</w:t>
        </w:r>
        <w:r w:rsidRPr="00FD23A0">
          <w:rPr>
            <w:webHidden/>
          </w:rPr>
          <w:tab/>
        </w:r>
        <w:r w:rsidRPr="00FD23A0">
          <w:rPr>
            <w:webHidden/>
          </w:rPr>
          <w:fldChar w:fldCharType="begin"/>
        </w:r>
        <w:r w:rsidRPr="00FD23A0">
          <w:rPr>
            <w:webHidden/>
          </w:rPr>
          <w:instrText xml:space="preserve"> PAGEREF _Toc242024767 \h </w:instrText>
        </w:r>
        <w:r w:rsidRPr="00FD23A0">
          <w:rPr>
            <w:webHidden/>
          </w:rPr>
        </w:r>
        <w:r w:rsidRPr="00FD23A0">
          <w:rPr>
            <w:webHidden/>
          </w:rPr>
          <w:fldChar w:fldCharType="separate"/>
        </w:r>
        <w:r w:rsidRPr="00FD23A0">
          <w:rPr>
            <w:webHidden/>
          </w:rPr>
          <w:t>12</w:t>
        </w:r>
        <w:r w:rsidRPr="00FD23A0">
          <w:rPr>
            <w:webHidden/>
          </w:rPr>
          <w:fldChar w:fldCharType="end"/>
        </w:r>
      </w:hyperlink>
    </w:p>
    <w:p w14:paraId="7CF2694C" w14:textId="4C54955C" w:rsidR="00FD23A0" w:rsidRPr="00FD23A0" w:rsidRDefault="00FD23A0">
      <w:pPr>
        <w:pStyle w:val="TOC2"/>
        <w:rPr>
          <w:rFonts w:asciiTheme="minorHAnsi" w:eastAsiaTheme="minorEastAsia" w:hAnsiTheme="minorHAnsi"/>
          <w:bCs w:val="0"/>
          <w:noProof/>
          <w:kern w:val="2"/>
          <w14:ligatures w14:val="standardContextual"/>
        </w:rPr>
      </w:pPr>
      <w:hyperlink w:anchor="_Toc242024768" w:history="1">
        <w:r w:rsidRPr="00FD23A0">
          <w:rPr>
            <w:rStyle w:val="Hyperlink"/>
            <w:rFonts w:asciiTheme="minorHAnsi" w:hAnsiTheme="minorHAnsi"/>
            <w:noProof/>
          </w:rPr>
          <w:t>Firearms Offenses</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_Toc242024768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12</w:t>
        </w:r>
        <w:r w:rsidRPr="00FD23A0">
          <w:rPr>
            <w:rFonts w:asciiTheme="minorHAnsi" w:hAnsiTheme="minorHAnsi"/>
            <w:noProof/>
            <w:webHidden/>
          </w:rPr>
          <w:fldChar w:fldCharType="end"/>
        </w:r>
      </w:hyperlink>
    </w:p>
    <w:p w14:paraId="7ABE92EC" w14:textId="72717ABE" w:rsidR="00FD23A0" w:rsidRPr="00FD23A0" w:rsidRDefault="00FD23A0">
      <w:pPr>
        <w:pStyle w:val="TOC2"/>
        <w:rPr>
          <w:rFonts w:asciiTheme="minorHAnsi" w:eastAsiaTheme="minorEastAsia" w:hAnsiTheme="minorHAnsi"/>
          <w:bCs w:val="0"/>
          <w:noProof/>
          <w:kern w:val="2"/>
          <w14:ligatures w14:val="standardContextual"/>
        </w:rPr>
      </w:pPr>
      <w:hyperlink w:anchor="_Toc242024769" w:history="1">
        <w:r w:rsidRPr="00FD23A0">
          <w:rPr>
            <w:rStyle w:val="Hyperlink"/>
            <w:rFonts w:asciiTheme="minorHAnsi" w:hAnsiTheme="minorHAnsi"/>
            <w:noProof/>
          </w:rPr>
          <w:t>Kidnapping</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_Toc242024769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13</w:t>
        </w:r>
        <w:r w:rsidRPr="00FD23A0">
          <w:rPr>
            <w:rFonts w:asciiTheme="minorHAnsi" w:hAnsiTheme="minorHAnsi"/>
            <w:noProof/>
            <w:webHidden/>
          </w:rPr>
          <w:fldChar w:fldCharType="end"/>
        </w:r>
      </w:hyperlink>
    </w:p>
    <w:p w14:paraId="7C1773EC" w14:textId="48BA683B" w:rsidR="00FD23A0" w:rsidRPr="00FD23A0" w:rsidRDefault="00FD23A0">
      <w:pPr>
        <w:pStyle w:val="TOC1"/>
        <w:rPr>
          <w:rFonts w:eastAsiaTheme="minorEastAsia"/>
          <w:bCs w:val="0"/>
          <w:kern w:val="2"/>
          <w14:ligatures w14:val="standardContextual"/>
        </w:rPr>
      </w:pPr>
      <w:hyperlink w:anchor="_Toc242024770" w:history="1">
        <w:r w:rsidRPr="00FD23A0">
          <w:rPr>
            <w:rStyle w:val="Hyperlink"/>
          </w:rPr>
          <w:t>Right to Counsel</w:t>
        </w:r>
        <w:r w:rsidRPr="00FD23A0">
          <w:rPr>
            <w:webHidden/>
          </w:rPr>
          <w:tab/>
        </w:r>
        <w:r w:rsidRPr="00FD23A0">
          <w:rPr>
            <w:webHidden/>
          </w:rPr>
          <w:fldChar w:fldCharType="begin"/>
        </w:r>
        <w:r w:rsidRPr="00FD23A0">
          <w:rPr>
            <w:webHidden/>
          </w:rPr>
          <w:instrText xml:space="preserve"> PAGEREF _Toc242024770 \h </w:instrText>
        </w:r>
        <w:r w:rsidRPr="00FD23A0">
          <w:rPr>
            <w:webHidden/>
          </w:rPr>
        </w:r>
        <w:r w:rsidRPr="00FD23A0">
          <w:rPr>
            <w:webHidden/>
          </w:rPr>
          <w:fldChar w:fldCharType="separate"/>
        </w:r>
        <w:r w:rsidRPr="00FD23A0">
          <w:rPr>
            <w:webHidden/>
          </w:rPr>
          <w:t>14</w:t>
        </w:r>
        <w:r w:rsidRPr="00FD23A0">
          <w:rPr>
            <w:webHidden/>
          </w:rPr>
          <w:fldChar w:fldCharType="end"/>
        </w:r>
      </w:hyperlink>
    </w:p>
    <w:p w14:paraId="2AC71F3E" w14:textId="792BFD93" w:rsidR="00FD23A0" w:rsidRPr="00FD23A0" w:rsidRDefault="00FD23A0">
      <w:pPr>
        <w:pStyle w:val="TOC2"/>
        <w:rPr>
          <w:rFonts w:asciiTheme="minorHAnsi" w:eastAsiaTheme="minorEastAsia" w:hAnsiTheme="minorHAnsi"/>
          <w:bCs w:val="0"/>
          <w:noProof/>
          <w:kern w:val="2"/>
          <w14:ligatures w14:val="standardContextual"/>
        </w:rPr>
      </w:pPr>
      <w:hyperlink w:anchor="_Toc242024771" w:history="1">
        <w:r w:rsidRPr="00FD23A0">
          <w:rPr>
            <w:rStyle w:val="Hyperlink"/>
            <w:rFonts w:asciiTheme="minorHAnsi" w:hAnsiTheme="minorHAnsi"/>
            <w:i/>
            <w:iCs/>
            <w:noProof/>
          </w:rPr>
          <w:t>Harbison</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_Toc242024771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14</w:t>
        </w:r>
        <w:r w:rsidRPr="00FD23A0">
          <w:rPr>
            <w:rFonts w:asciiTheme="minorHAnsi" w:hAnsiTheme="minorHAnsi"/>
            <w:noProof/>
            <w:webHidden/>
          </w:rPr>
          <w:fldChar w:fldCharType="end"/>
        </w:r>
      </w:hyperlink>
    </w:p>
    <w:p w14:paraId="340666C4" w14:textId="0B179207" w:rsidR="00FD23A0" w:rsidRPr="00FD23A0" w:rsidRDefault="00FD23A0">
      <w:pPr>
        <w:pStyle w:val="TOC2"/>
        <w:rPr>
          <w:rFonts w:asciiTheme="minorHAnsi" w:eastAsiaTheme="minorEastAsia" w:hAnsiTheme="minorHAnsi"/>
          <w:bCs w:val="0"/>
          <w:noProof/>
          <w:kern w:val="2"/>
          <w14:ligatures w14:val="standardContextual"/>
        </w:rPr>
      </w:pPr>
      <w:hyperlink w:anchor="_Toc242024772" w:history="1">
        <w:r w:rsidRPr="00FD23A0">
          <w:rPr>
            <w:rStyle w:val="Hyperlink"/>
            <w:rFonts w:asciiTheme="minorHAnsi" w:hAnsiTheme="minorHAnsi"/>
            <w:noProof/>
          </w:rPr>
          <w:t>Waiver</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_Toc242024772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16</w:t>
        </w:r>
        <w:r w:rsidRPr="00FD23A0">
          <w:rPr>
            <w:rFonts w:asciiTheme="minorHAnsi" w:hAnsiTheme="minorHAnsi"/>
            <w:noProof/>
            <w:webHidden/>
          </w:rPr>
          <w:fldChar w:fldCharType="end"/>
        </w:r>
      </w:hyperlink>
    </w:p>
    <w:p w14:paraId="74A12D7D" w14:textId="0237263F" w:rsidR="00FD23A0" w:rsidRPr="00FD23A0" w:rsidRDefault="00FD23A0">
      <w:pPr>
        <w:pStyle w:val="TOC1"/>
        <w:rPr>
          <w:rFonts w:eastAsiaTheme="minorEastAsia"/>
          <w:bCs w:val="0"/>
          <w:kern w:val="2"/>
          <w14:ligatures w14:val="standardContextual"/>
        </w:rPr>
      </w:pPr>
      <w:hyperlink w:anchor="_Toc242024773" w:history="1">
        <w:r w:rsidRPr="00FD23A0">
          <w:rPr>
            <w:rStyle w:val="Hyperlink"/>
          </w:rPr>
          <w:t>Defenses</w:t>
        </w:r>
        <w:r w:rsidRPr="00FD23A0">
          <w:rPr>
            <w:webHidden/>
          </w:rPr>
          <w:tab/>
        </w:r>
        <w:r w:rsidRPr="00FD23A0">
          <w:rPr>
            <w:webHidden/>
          </w:rPr>
          <w:fldChar w:fldCharType="begin"/>
        </w:r>
        <w:r w:rsidRPr="00FD23A0">
          <w:rPr>
            <w:webHidden/>
          </w:rPr>
          <w:instrText xml:space="preserve"> PAGEREF _Toc242024773 \h </w:instrText>
        </w:r>
        <w:r w:rsidRPr="00FD23A0">
          <w:rPr>
            <w:webHidden/>
          </w:rPr>
        </w:r>
        <w:r w:rsidRPr="00FD23A0">
          <w:rPr>
            <w:webHidden/>
          </w:rPr>
          <w:fldChar w:fldCharType="separate"/>
        </w:r>
        <w:r w:rsidRPr="00FD23A0">
          <w:rPr>
            <w:webHidden/>
          </w:rPr>
          <w:t>17</w:t>
        </w:r>
        <w:r w:rsidRPr="00FD23A0">
          <w:rPr>
            <w:webHidden/>
          </w:rPr>
          <w:fldChar w:fldCharType="end"/>
        </w:r>
      </w:hyperlink>
    </w:p>
    <w:p w14:paraId="665B0EC4" w14:textId="0757A84E" w:rsidR="00FD23A0" w:rsidRPr="00FD23A0" w:rsidRDefault="00FD23A0">
      <w:pPr>
        <w:pStyle w:val="TOC2"/>
        <w:rPr>
          <w:rFonts w:asciiTheme="minorHAnsi" w:eastAsiaTheme="minorEastAsia" w:hAnsiTheme="minorHAnsi"/>
          <w:bCs w:val="0"/>
          <w:noProof/>
          <w:kern w:val="2"/>
          <w14:ligatures w14:val="standardContextual"/>
        </w:rPr>
      </w:pPr>
      <w:hyperlink w:anchor="_Toc242024774" w:history="1">
        <w:r w:rsidRPr="00FD23A0">
          <w:rPr>
            <w:rStyle w:val="Hyperlink"/>
            <w:rFonts w:asciiTheme="minorHAnsi" w:hAnsiTheme="minorHAnsi"/>
            <w:noProof/>
          </w:rPr>
          <w:t>Self Defense</w:t>
        </w:r>
        <w:r w:rsidRPr="00FD23A0">
          <w:rPr>
            <w:rFonts w:asciiTheme="minorHAnsi" w:hAnsiTheme="minorHAnsi"/>
            <w:noProof/>
            <w:webHidden/>
          </w:rPr>
          <w:tab/>
        </w:r>
        <w:r w:rsidRPr="00FD23A0">
          <w:rPr>
            <w:rFonts w:asciiTheme="minorHAnsi" w:hAnsiTheme="minorHAnsi"/>
            <w:noProof/>
            <w:webHidden/>
          </w:rPr>
          <w:fldChar w:fldCharType="begin"/>
        </w:r>
        <w:r w:rsidRPr="00FD23A0">
          <w:rPr>
            <w:rFonts w:asciiTheme="minorHAnsi" w:hAnsiTheme="minorHAnsi"/>
            <w:noProof/>
            <w:webHidden/>
          </w:rPr>
          <w:instrText xml:space="preserve"> PAGEREF _Toc242024774 \h </w:instrText>
        </w:r>
        <w:r w:rsidRPr="00FD23A0">
          <w:rPr>
            <w:rFonts w:asciiTheme="minorHAnsi" w:hAnsiTheme="minorHAnsi"/>
            <w:noProof/>
            <w:webHidden/>
          </w:rPr>
        </w:r>
        <w:r w:rsidRPr="00FD23A0">
          <w:rPr>
            <w:rFonts w:asciiTheme="minorHAnsi" w:hAnsiTheme="minorHAnsi"/>
            <w:noProof/>
            <w:webHidden/>
          </w:rPr>
          <w:fldChar w:fldCharType="separate"/>
        </w:r>
        <w:r w:rsidRPr="00FD23A0">
          <w:rPr>
            <w:rFonts w:asciiTheme="minorHAnsi" w:hAnsiTheme="minorHAnsi"/>
            <w:noProof/>
            <w:webHidden/>
          </w:rPr>
          <w:t>17</w:t>
        </w:r>
        <w:r w:rsidRPr="00FD23A0">
          <w:rPr>
            <w:rFonts w:asciiTheme="minorHAnsi" w:hAnsiTheme="minorHAnsi"/>
            <w:noProof/>
            <w:webHidden/>
          </w:rPr>
          <w:fldChar w:fldCharType="end"/>
        </w:r>
      </w:hyperlink>
    </w:p>
    <w:p w14:paraId="4E5266DE" w14:textId="61F43A7F" w:rsidR="00FD23A0" w:rsidRPr="00FD23A0" w:rsidRDefault="00FD23A0">
      <w:pPr>
        <w:pStyle w:val="TOC1"/>
        <w:rPr>
          <w:rFonts w:eastAsiaTheme="minorEastAsia"/>
          <w:bCs w:val="0"/>
          <w:kern w:val="2"/>
          <w14:ligatures w14:val="standardContextual"/>
        </w:rPr>
      </w:pPr>
      <w:hyperlink w:anchor="_Toc242024775" w:history="1">
        <w:r w:rsidRPr="00FD23A0">
          <w:rPr>
            <w:rStyle w:val="Hyperlink"/>
          </w:rPr>
          <w:t>Jury Instructions</w:t>
        </w:r>
        <w:r w:rsidRPr="00FD23A0">
          <w:rPr>
            <w:webHidden/>
          </w:rPr>
          <w:tab/>
        </w:r>
        <w:r w:rsidRPr="00FD23A0">
          <w:rPr>
            <w:webHidden/>
          </w:rPr>
          <w:fldChar w:fldCharType="begin"/>
        </w:r>
        <w:r w:rsidRPr="00FD23A0">
          <w:rPr>
            <w:webHidden/>
          </w:rPr>
          <w:instrText xml:space="preserve"> PAGEREF _Toc242024775 \h </w:instrText>
        </w:r>
        <w:r w:rsidRPr="00FD23A0">
          <w:rPr>
            <w:webHidden/>
          </w:rPr>
        </w:r>
        <w:r w:rsidRPr="00FD23A0">
          <w:rPr>
            <w:webHidden/>
          </w:rPr>
          <w:fldChar w:fldCharType="separate"/>
        </w:r>
        <w:r w:rsidRPr="00FD23A0">
          <w:rPr>
            <w:webHidden/>
          </w:rPr>
          <w:t>19</w:t>
        </w:r>
        <w:r w:rsidRPr="00FD23A0">
          <w:rPr>
            <w:webHidden/>
          </w:rPr>
          <w:fldChar w:fldCharType="end"/>
        </w:r>
      </w:hyperlink>
    </w:p>
    <w:p w14:paraId="4A41418B" w14:textId="2F788737" w:rsidR="00FD23A0" w:rsidRPr="00FD23A0" w:rsidRDefault="00FD23A0">
      <w:pPr>
        <w:pStyle w:val="TOC1"/>
        <w:rPr>
          <w:rFonts w:eastAsiaTheme="minorEastAsia"/>
          <w:bCs w:val="0"/>
          <w:kern w:val="2"/>
          <w14:ligatures w14:val="standardContextual"/>
        </w:rPr>
      </w:pPr>
      <w:hyperlink w:anchor="_Toc242024776" w:history="1">
        <w:r w:rsidRPr="00FD23A0">
          <w:rPr>
            <w:rStyle w:val="Hyperlink"/>
          </w:rPr>
          <w:t>Jury Deliberations</w:t>
        </w:r>
        <w:r w:rsidRPr="00FD23A0">
          <w:rPr>
            <w:webHidden/>
          </w:rPr>
          <w:tab/>
        </w:r>
        <w:r w:rsidRPr="00FD23A0">
          <w:rPr>
            <w:webHidden/>
          </w:rPr>
          <w:fldChar w:fldCharType="begin"/>
        </w:r>
        <w:r w:rsidRPr="00FD23A0">
          <w:rPr>
            <w:webHidden/>
          </w:rPr>
          <w:instrText xml:space="preserve"> PAGEREF _Toc242024776 \h </w:instrText>
        </w:r>
        <w:r w:rsidRPr="00FD23A0">
          <w:rPr>
            <w:webHidden/>
          </w:rPr>
        </w:r>
        <w:r w:rsidRPr="00FD23A0">
          <w:rPr>
            <w:webHidden/>
          </w:rPr>
          <w:fldChar w:fldCharType="separate"/>
        </w:r>
        <w:r w:rsidRPr="00FD23A0">
          <w:rPr>
            <w:webHidden/>
          </w:rPr>
          <w:t>21</w:t>
        </w:r>
        <w:r w:rsidRPr="00FD23A0">
          <w:rPr>
            <w:webHidden/>
          </w:rPr>
          <w:fldChar w:fldCharType="end"/>
        </w:r>
      </w:hyperlink>
    </w:p>
    <w:p w14:paraId="447C44BE" w14:textId="0E391C34" w:rsidR="00FD23A0" w:rsidRDefault="00FD23A0">
      <w:pPr>
        <w:pStyle w:val="TOC1"/>
        <w:rPr>
          <w:rFonts w:eastAsiaTheme="minorEastAsia"/>
          <w:bCs w:val="0"/>
          <w:kern w:val="2"/>
          <w14:ligatures w14:val="standardContextual"/>
        </w:rPr>
      </w:pPr>
      <w:hyperlink w:anchor="_Toc242024777" w:history="1">
        <w:r w:rsidRPr="005E759E">
          <w:rPr>
            <w:rStyle w:val="Hyperlink"/>
          </w:rPr>
          <w:t>Sentencing</w:t>
        </w:r>
        <w:r>
          <w:rPr>
            <w:webHidden/>
          </w:rPr>
          <w:tab/>
        </w:r>
        <w:r>
          <w:rPr>
            <w:webHidden/>
          </w:rPr>
          <w:fldChar w:fldCharType="begin"/>
        </w:r>
        <w:r>
          <w:rPr>
            <w:webHidden/>
          </w:rPr>
          <w:instrText xml:space="preserve"> PAGEREF _Toc242024777 \h </w:instrText>
        </w:r>
        <w:r>
          <w:rPr>
            <w:webHidden/>
          </w:rPr>
        </w:r>
        <w:r>
          <w:rPr>
            <w:webHidden/>
          </w:rPr>
          <w:fldChar w:fldCharType="separate"/>
        </w:r>
        <w:r>
          <w:rPr>
            <w:webHidden/>
          </w:rPr>
          <w:t>23</w:t>
        </w:r>
        <w:r>
          <w:rPr>
            <w:webHidden/>
          </w:rPr>
          <w:fldChar w:fldCharType="end"/>
        </w:r>
      </w:hyperlink>
    </w:p>
    <w:p w14:paraId="6E65FF4B" w14:textId="37E2C5DE" w:rsidR="00FD23A0" w:rsidRDefault="00FD23A0">
      <w:pPr>
        <w:pStyle w:val="TOC1"/>
        <w:rPr>
          <w:rFonts w:eastAsiaTheme="minorEastAsia"/>
          <w:bCs w:val="0"/>
          <w:kern w:val="2"/>
          <w14:ligatures w14:val="standardContextual"/>
        </w:rPr>
      </w:pPr>
      <w:hyperlink w:anchor="_Toc242024778" w:history="1">
        <w:r w:rsidRPr="005E759E">
          <w:rPr>
            <w:rStyle w:val="Hyperlink"/>
          </w:rPr>
          <w:t>Sex Offender Registration</w:t>
        </w:r>
        <w:r>
          <w:rPr>
            <w:webHidden/>
          </w:rPr>
          <w:tab/>
        </w:r>
        <w:r>
          <w:rPr>
            <w:webHidden/>
          </w:rPr>
          <w:fldChar w:fldCharType="begin"/>
        </w:r>
        <w:r>
          <w:rPr>
            <w:webHidden/>
          </w:rPr>
          <w:instrText xml:space="preserve"> PAGEREF _Toc242024778 \h </w:instrText>
        </w:r>
        <w:r>
          <w:rPr>
            <w:webHidden/>
          </w:rPr>
        </w:r>
        <w:r>
          <w:rPr>
            <w:webHidden/>
          </w:rPr>
          <w:fldChar w:fldCharType="separate"/>
        </w:r>
        <w:r>
          <w:rPr>
            <w:webHidden/>
          </w:rPr>
          <w:t>25</w:t>
        </w:r>
        <w:r>
          <w:rPr>
            <w:webHidden/>
          </w:rPr>
          <w:fldChar w:fldCharType="end"/>
        </w:r>
      </w:hyperlink>
    </w:p>
    <w:p w14:paraId="59FFCB05" w14:textId="1B8A17CF" w:rsidR="00FD23A0" w:rsidRDefault="00FD23A0">
      <w:pPr>
        <w:pStyle w:val="TOC1"/>
        <w:rPr>
          <w:rFonts w:eastAsiaTheme="minorEastAsia"/>
          <w:bCs w:val="0"/>
          <w:kern w:val="2"/>
          <w14:ligatures w14:val="standardContextual"/>
        </w:rPr>
      </w:pPr>
      <w:hyperlink w:anchor="_Toc242024779" w:history="1">
        <w:r w:rsidRPr="005E759E">
          <w:rPr>
            <w:rStyle w:val="Hyperlink"/>
          </w:rPr>
          <w:t>Probation Violations</w:t>
        </w:r>
        <w:r>
          <w:rPr>
            <w:webHidden/>
          </w:rPr>
          <w:tab/>
        </w:r>
        <w:r>
          <w:rPr>
            <w:webHidden/>
          </w:rPr>
          <w:fldChar w:fldCharType="begin"/>
        </w:r>
        <w:r>
          <w:rPr>
            <w:webHidden/>
          </w:rPr>
          <w:instrText xml:space="preserve"> PAGEREF _Toc242024779 \h </w:instrText>
        </w:r>
        <w:r>
          <w:rPr>
            <w:webHidden/>
          </w:rPr>
        </w:r>
        <w:r>
          <w:rPr>
            <w:webHidden/>
          </w:rPr>
          <w:fldChar w:fldCharType="separate"/>
        </w:r>
        <w:r>
          <w:rPr>
            <w:webHidden/>
          </w:rPr>
          <w:t>26</w:t>
        </w:r>
        <w:r>
          <w:rPr>
            <w:webHidden/>
          </w:rPr>
          <w:fldChar w:fldCharType="end"/>
        </w:r>
      </w:hyperlink>
    </w:p>
    <w:p w14:paraId="5EB96EEF" w14:textId="451C5283" w:rsidR="00AE1F2A" w:rsidRPr="005E6E22" w:rsidRDefault="00343C16" w:rsidP="005E6E22">
      <w:pPr>
        <w:pStyle w:val="Heading1"/>
        <w:spacing w:before="0" w:after="0" w:line="240" w:lineRule="auto"/>
        <w:rPr>
          <w:rFonts w:asciiTheme="minorHAnsi" w:hAnsiTheme="minorHAnsi" w:cs="Times New Roman"/>
          <w:sz w:val="24"/>
          <w:szCs w:val="24"/>
        </w:rPr>
      </w:pPr>
      <w:r w:rsidRPr="005E6E22">
        <w:rPr>
          <w:rFonts w:asciiTheme="minorHAnsi" w:hAnsiTheme="minorHAnsi" w:cs="Times New Roman"/>
          <w:sz w:val="24"/>
          <w:szCs w:val="24"/>
        </w:rPr>
        <w:fldChar w:fldCharType="end"/>
      </w:r>
    </w:p>
    <w:p w14:paraId="0CC0ACBA" w14:textId="77777777" w:rsidR="00AE1F2A" w:rsidRPr="005E6E22" w:rsidRDefault="00AE1F2A" w:rsidP="005E6E22">
      <w:pPr>
        <w:spacing w:after="0" w:line="240" w:lineRule="auto"/>
        <w:rPr>
          <w:rFonts w:asciiTheme="minorHAnsi" w:eastAsiaTheme="majorEastAsia" w:hAnsiTheme="minorHAnsi" w:cs="Times New Roman"/>
          <w:bCs w:val="0"/>
          <w:color w:val="0F4761" w:themeColor="accent1" w:themeShade="BF"/>
          <w:kern w:val="2"/>
          <w14:ligatures w14:val="standardContextual"/>
        </w:rPr>
      </w:pPr>
      <w:r w:rsidRPr="005E6E22">
        <w:rPr>
          <w:rFonts w:asciiTheme="minorHAnsi" w:hAnsiTheme="minorHAnsi" w:cs="Times New Roman"/>
        </w:rPr>
        <w:br w:type="page"/>
      </w:r>
    </w:p>
    <w:p w14:paraId="21A238BF" w14:textId="1470D958" w:rsidR="00E04595" w:rsidRDefault="00E04595" w:rsidP="005E6E22">
      <w:pPr>
        <w:pStyle w:val="Heading1"/>
        <w:spacing w:before="0" w:after="0" w:line="240" w:lineRule="auto"/>
        <w:rPr>
          <w:rFonts w:asciiTheme="minorHAnsi" w:hAnsiTheme="minorHAnsi"/>
          <w:sz w:val="28"/>
          <w:szCs w:val="28"/>
        </w:rPr>
      </w:pPr>
      <w:bookmarkStart w:id="0" w:name="_Toc242024762"/>
      <w:r w:rsidRPr="005E6E22">
        <w:rPr>
          <w:rFonts w:asciiTheme="minorHAnsi" w:hAnsiTheme="minorHAnsi"/>
          <w:sz w:val="28"/>
          <w:szCs w:val="28"/>
        </w:rPr>
        <w:t>Second Amendment</w:t>
      </w:r>
      <w:bookmarkEnd w:id="0"/>
    </w:p>
    <w:p w14:paraId="627BD34B" w14:textId="77777777" w:rsidR="008B6A95" w:rsidRPr="008B6A95" w:rsidRDefault="008B6A95" w:rsidP="008B6A95"/>
    <w:p w14:paraId="2BB3694D" w14:textId="77777777" w:rsidR="0094152A" w:rsidRDefault="0094152A" w:rsidP="005E6E22">
      <w:pPr>
        <w:spacing w:after="0" w:line="240" w:lineRule="auto"/>
        <w:rPr>
          <w:rFonts w:asciiTheme="minorHAnsi" w:hAnsiTheme="minorHAnsi"/>
          <w:b/>
        </w:rPr>
      </w:pPr>
      <w:r w:rsidRPr="005E6E22">
        <w:rPr>
          <w:rFonts w:asciiTheme="minorHAnsi" w:hAnsiTheme="minorHAnsi"/>
          <w:b/>
        </w:rPr>
        <w:t xml:space="preserve">18 U.S.C. § 922(g)(3), barring firearm possession by unlawful users of controlled substances, was unconstitutional under the Second Amendment as applied to a regular user of marijuana; habitual drunkard laws were not sufficiently </w:t>
      </w:r>
      <w:proofErr w:type="gramStart"/>
      <w:r w:rsidRPr="005E6E22">
        <w:rPr>
          <w:rFonts w:asciiTheme="minorHAnsi" w:hAnsiTheme="minorHAnsi"/>
          <w:b/>
        </w:rPr>
        <w:t>similar to</w:t>
      </w:r>
      <w:proofErr w:type="gramEnd"/>
      <w:r w:rsidRPr="005E6E22">
        <w:rPr>
          <w:rFonts w:asciiTheme="minorHAnsi" w:hAnsiTheme="minorHAnsi"/>
          <w:b/>
        </w:rPr>
        <w:t xml:space="preserve"> § 922(g)(3) in purpose and operation to justify categorical disarmament</w:t>
      </w:r>
    </w:p>
    <w:p w14:paraId="4AF5D69B" w14:textId="77777777" w:rsidR="00FE3206" w:rsidRPr="005E6E22" w:rsidRDefault="00FE3206" w:rsidP="005E6E22">
      <w:pPr>
        <w:spacing w:after="0" w:line="240" w:lineRule="auto"/>
        <w:rPr>
          <w:rFonts w:asciiTheme="minorHAnsi" w:hAnsiTheme="minorHAnsi"/>
        </w:rPr>
      </w:pPr>
    </w:p>
    <w:p w14:paraId="1977EC42" w14:textId="5436DB37" w:rsidR="001B609D" w:rsidRDefault="001B609D" w:rsidP="005E6E22">
      <w:pPr>
        <w:spacing w:after="0" w:line="240" w:lineRule="auto"/>
        <w:rPr>
          <w:rFonts w:asciiTheme="minorHAnsi" w:hAnsiTheme="minorHAnsi"/>
        </w:rPr>
      </w:pPr>
      <w:hyperlink r:id="rId8" w:history="1">
        <w:r w:rsidRPr="005E6E22">
          <w:rPr>
            <w:rStyle w:val="Hyperlink"/>
            <w:rFonts w:asciiTheme="minorHAnsi" w:hAnsiTheme="minorHAnsi"/>
            <w:b/>
          </w:rPr>
          <w:t>U.S. v. Hemani</w:t>
        </w:r>
      </w:hyperlink>
      <w:r w:rsidRPr="005E6E22">
        <w:rPr>
          <w:rFonts w:asciiTheme="minorHAnsi" w:hAnsiTheme="minorHAnsi"/>
        </w:rPr>
        <w:t>, 608 U.S. ___</w:t>
      </w:r>
      <w:r w:rsidR="00FE3206">
        <w:rPr>
          <w:rFonts w:asciiTheme="minorHAnsi" w:hAnsiTheme="minorHAnsi"/>
        </w:rPr>
        <w:t xml:space="preserve"> </w:t>
      </w:r>
      <w:r w:rsidRPr="005E6E22">
        <w:rPr>
          <w:rFonts w:asciiTheme="minorHAnsi" w:hAnsiTheme="minorHAnsi"/>
        </w:rPr>
        <w:t>(June 18, 2026) (Gorsuch, J.) Under 18 U.S.C. § 922(g)(3), a person who is an “unlawful user of” controlled substances or who is “addicted to” controlled substances may not legally possess a firearm. A violation of that law is a felony offense punishable by up to 15 years in prison. “Controlled substances” are defined by reference to the Controlled Substances Act (“CSA”), which includes all controlled substances within Schedules I-V (unlike North Carolina law, federal law does not have a category of Schedule VI controlled substances).</w:t>
      </w:r>
    </w:p>
    <w:p w14:paraId="15A7A77C" w14:textId="77777777" w:rsidR="00FE3206" w:rsidRPr="005E6E22" w:rsidRDefault="00FE3206" w:rsidP="005E6E22">
      <w:pPr>
        <w:spacing w:after="0" w:line="240" w:lineRule="auto"/>
        <w:rPr>
          <w:rFonts w:asciiTheme="minorHAnsi" w:hAnsiTheme="minorHAnsi"/>
        </w:rPr>
      </w:pPr>
    </w:p>
    <w:p w14:paraId="28AF5421" w14:textId="77777777" w:rsidR="001B609D" w:rsidRDefault="001B609D" w:rsidP="005E6E22">
      <w:pPr>
        <w:spacing w:after="0" w:line="240" w:lineRule="auto"/>
        <w:rPr>
          <w:rFonts w:asciiTheme="minorHAnsi" w:hAnsiTheme="minorHAnsi"/>
        </w:rPr>
      </w:pPr>
      <w:r w:rsidRPr="005E6E22">
        <w:rPr>
          <w:rFonts w:asciiTheme="minorHAnsi" w:hAnsiTheme="minorHAnsi"/>
        </w:rPr>
        <w:t>The defendant was a U.S.-Pakistani dual citizen in Texas. The federal government suspected him of involvement in terrorism and searched the home where he lived with his family. The defendant turned over a gun during the search and alerted agents to the presence of marijuana on site. He admitted to law enforcement that he used marijuana “about every other day.” The government prosecuted him under § 922(g)(3) under the theory that the defendant qualified as an “unlawful user” of marijuana. The defendant moved to dismiss, arguing that the prosecution violated his Second Amendment rights. The district court agreed and dismissed the indictment. The government appealed, and the Fifth Circuit affirmed. The government sought review at the U.S. Supreme Court. It granted certiorari and unanimously affirmed.  </w:t>
      </w:r>
    </w:p>
    <w:p w14:paraId="7968F55E" w14:textId="77777777" w:rsidR="00FE3206" w:rsidRPr="005E6E22" w:rsidRDefault="00FE3206" w:rsidP="005E6E22">
      <w:pPr>
        <w:spacing w:after="0" w:line="240" w:lineRule="auto"/>
        <w:rPr>
          <w:rFonts w:asciiTheme="minorHAnsi" w:hAnsiTheme="minorHAnsi"/>
        </w:rPr>
      </w:pPr>
    </w:p>
    <w:p w14:paraId="693B39A5"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To determine whether a firearms regulation violates the Second Amendment, courts must first determine whether the regulated conduct is covered by the amendment. If the conduct falls within the protections of the Second Amendment, that conduct is presumptively protected. </w:t>
      </w:r>
      <w:proofErr w:type="gramStart"/>
      <w:r w:rsidRPr="005E6E22">
        <w:rPr>
          <w:rFonts w:asciiTheme="minorHAnsi" w:hAnsiTheme="minorHAnsi"/>
        </w:rPr>
        <w:t>In order to</w:t>
      </w:r>
      <w:proofErr w:type="gramEnd"/>
      <w:r w:rsidRPr="005E6E22">
        <w:rPr>
          <w:rFonts w:asciiTheme="minorHAnsi" w:hAnsiTheme="minorHAnsi"/>
        </w:rPr>
        <w:t xml:space="preserve"> overcome that presumption, the government must demonstrate that its regulation of the conduct is “consistent with the Nation’s historical tradition of firearm regulation.” </w:t>
      </w:r>
      <w:r w:rsidRPr="005E6E22">
        <w:rPr>
          <w:rFonts w:asciiTheme="minorHAnsi" w:hAnsiTheme="minorHAnsi"/>
          <w:i/>
          <w:iCs/>
        </w:rPr>
        <w:t xml:space="preserve">New York Rifle &amp; Pistol </w:t>
      </w:r>
      <w:proofErr w:type="spellStart"/>
      <w:r w:rsidRPr="005E6E22">
        <w:rPr>
          <w:rFonts w:asciiTheme="minorHAnsi" w:hAnsiTheme="minorHAnsi"/>
          <w:i/>
          <w:iCs/>
        </w:rPr>
        <w:t>Ass’n</w:t>
      </w:r>
      <w:proofErr w:type="spellEnd"/>
      <w:r w:rsidRPr="005E6E22">
        <w:rPr>
          <w:rFonts w:asciiTheme="minorHAnsi" w:hAnsiTheme="minorHAnsi"/>
          <w:i/>
          <w:iCs/>
        </w:rPr>
        <w:t>, Inc. v. Bruen</w:t>
      </w:r>
      <w:r w:rsidRPr="005E6E22">
        <w:rPr>
          <w:rFonts w:asciiTheme="minorHAnsi" w:hAnsiTheme="minorHAnsi"/>
        </w:rPr>
        <w:t xml:space="preserve">, 597 U.S. 1, 24 (2022). While the government need not show that the challenged regulation has a “historical twin” in the Nation’s history, it must show that the current regulation is consistent in principle with the historical tradition. </w:t>
      </w:r>
      <w:r w:rsidRPr="005E6E22">
        <w:rPr>
          <w:rFonts w:asciiTheme="minorHAnsi" w:hAnsiTheme="minorHAnsi"/>
          <w:i/>
          <w:iCs/>
        </w:rPr>
        <w:t>U.S. v. Rahimi</w:t>
      </w:r>
      <w:r w:rsidRPr="005E6E22">
        <w:rPr>
          <w:rFonts w:asciiTheme="minorHAnsi" w:hAnsiTheme="minorHAnsi"/>
        </w:rPr>
        <w:t xml:space="preserve">, 602 U.S. 680, 692 (2024). Two central considerations of whether a modern regulation is sufficiently similar to a historical one are the “how” and the “why” of the law. “The more closely a contemporary law mirrors a well-established historical analogue in purpose and operation, the more likely it is to be upheld. Conversely, the more a modern law diverges from traditional laws in purpose and operation, the less likely it is to survive review.” </w:t>
      </w:r>
      <w:r w:rsidRPr="005E6E22">
        <w:rPr>
          <w:rFonts w:asciiTheme="minorHAnsi" w:hAnsiTheme="minorHAnsi"/>
          <w:i/>
          <w:iCs/>
        </w:rPr>
        <w:t>Hemani</w:t>
      </w:r>
      <w:r w:rsidRPr="005E6E22">
        <w:rPr>
          <w:rFonts w:asciiTheme="minorHAnsi" w:hAnsiTheme="minorHAnsi"/>
        </w:rPr>
        <w:t xml:space="preserve"> Slip op. at 5.</w:t>
      </w:r>
    </w:p>
    <w:p w14:paraId="127940B9" w14:textId="77777777" w:rsidR="00FE3206" w:rsidRPr="005E6E22" w:rsidRDefault="00FE3206" w:rsidP="005E6E22">
      <w:pPr>
        <w:spacing w:after="0" w:line="240" w:lineRule="auto"/>
        <w:rPr>
          <w:rFonts w:asciiTheme="minorHAnsi" w:hAnsiTheme="minorHAnsi"/>
        </w:rPr>
      </w:pPr>
    </w:p>
    <w:p w14:paraId="201F6FF8" w14:textId="77777777" w:rsidR="001B609D" w:rsidRDefault="001B609D" w:rsidP="005E6E22">
      <w:pPr>
        <w:spacing w:after="0" w:line="240" w:lineRule="auto"/>
        <w:rPr>
          <w:rFonts w:asciiTheme="minorHAnsi" w:hAnsiTheme="minorHAnsi"/>
        </w:rPr>
      </w:pPr>
      <w:r w:rsidRPr="005E6E22">
        <w:rPr>
          <w:rFonts w:asciiTheme="minorHAnsi" w:hAnsiTheme="minorHAnsi"/>
        </w:rPr>
        <w:t>Here, the government agreed that § 922(g)(3) applied to conduct covered by the Second Amendment. It argued that the challenged law was akin to historical laws regulating habitual drunkards. Three categories of habitual drunkard laws existed in the country’s history—vagrancy laws, civil commitment laws, and surety laws. According to the government, § 922(g)(3) shares the same purpose as these historical analogues—to regulate unlawful users of intoxicating substances and to protect society from dangerous and violent people. These laws also operate similarly, in the government’s view, because the historical laws allowed the detention of people falling within the ambit of the habitual drunkard laws (necessarily resulting in their temporary disarmament), and § 922(g)(3) similarly temporarily disarms people while they are unlawful users of controlled substances.</w:t>
      </w:r>
    </w:p>
    <w:p w14:paraId="413A05C0" w14:textId="77777777" w:rsidR="00FE3206" w:rsidRPr="005E6E22" w:rsidRDefault="00FE3206" w:rsidP="005E6E22">
      <w:pPr>
        <w:spacing w:after="0" w:line="240" w:lineRule="auto"/>
        <w:rPr>
          <w:rFonts w:asciiTheme="minorHAnsi" w:hAnsiTheme="minorHAnsi"/>
        </w:rPr>
      </w:pPr>
    </w:p>
    <w:p w14:paraId="71174EB0"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The Court rejected this argument and held that the government failed to carry its burden to justify § 922(g)(3) on the facts of the case. Habitual drunkard laws are significantly different than the modern prohibition of unlawful users. The use of intoxicating substances has a long and colorful history in the country and mere use (or even regular, excessive use) of such substances did not bring a person within the reach of habitual drunkard laws. Only when a person was so routinely intoxicated as to lose his “ordinary reasoning faculties” or become unable to manage his own affairs would a person historically be considered a habitual drunkard. </w:t>
      </w:r>
      <w:r w:rsidRPr="005E6E22">
        <w:rPr>
          <w:rFonts w:asciiTheme="minorHAnsi" w:hAnsiTheme="minorHAnsi"/>
          <w:i/>
          <w:iCs/>
        </w:rPr>
        <w:t>Id</w:t>
      </w:r>
      <w:r w:rsidRPr="005E6E22">
        <w:rPr>
          <w:rFonts w:asciiTheme="minorHAnsi" w:hAnsiTheme="minorHAnsi"/>
        </w:rPr>
        <w:t xml:space="preserve">. at 8. The government’s argument that the habitual drunkard laws targeted people merely because they used intoxicating substances failed. “[§ 922(g)(3)] sweeps in large numbers of people without regard to whether their substance use has the kind of incapacitating effect on them that historical habitual drunkard laws normally required.” </w:t>
      </w:r>
      <w:r w:rsidRPr="005E6E22">
        <w:rPr>
          <w:rFonts w:asciiTheme="minorHAnsi" w:hAnsiTheme="minorHAnsi"/>
          <w:i/>
          <w:iCs/>
        </w:rPr>
        <w:t>Id</w:t>
      </w:r>
      <w:r w:rsidRPr="005E6E22">
        <w:rPr>
          <w:rFonts w:asciiTheme="minorHAnsi" w:hAnsiTheme="minorHAnsi"/>
        </w:rPr>
        <w:t>. at 10. The defendant’s case exemplifies how the challenged law differed from the historical ones. Nothing in the record showed how much marijuana the defendant used, how strong that marijuana was, or how that use affected the defendant. Under the government’s theory, a person who regularly used a spouse’s or friend’s medication for any purpose whatsoever would be subject to felony prosecution and permanent disarmament, regardless of the amount used or the effects caused by such use.</w:t>
      </w:r>
    </w:p>
    <w:p w14:paraId="3D4EEFC8" w14:textId="77777777" w:rsidR="004D7F15" w:rsidRPr="005E6E22" w:rsidRDefault="004D7F15" w:rsidP="005E6E22">
      <w:pPr>
        <w:spacing w:after="0" w:line="240" w:lineRule="auto"/>
        <w:rPr>
          <w:rFonts w:asciiTheme="minorHAnsi" w:hAnsiTheme="minorHAnsi"/>
        </w:rPr>
      </w:pPr>
    </w:p>
    <w:p w14:paraId="2632AEB9"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Habitual drunkard laws were also not primarily aimed at protecting the public from dangerous and violent people. Vagrancy laws targeted people who refused to work and who could not provide for their families. They also swept </w:t>
      </w:r>
      <w:proofErr w:type="gramStart"/>
      <w:r w:rsidRPr="005E6E22">
        <w:rPr>
          <w:rFonts w:asciiTheme="minorHAnsi" w:hAnsiTheme="minorHAnsi"/>
        </w:rPr>
        <w:t>in</w:t>
      </w:r>
      <w:proofErr w:type="gramEnd"/>
      <w:r w:rsidRPr="005E6E22">
        <w:rPr>
          <w:rFonts w:asciiTheme="minorHAnsi" w:hAnsiTheme="minorHAnsi"/>
        </w:rPr>
        <w:t xml:space="preserve"> many more people than habitual drunkards. Civil commitment laws were primarily meant “to protect habitual drunkards from themselves and their families from financial devastation.” </w:t>
      </w:r>
      <w:r w:rsidRPr="005E6E22">
        <w:rPr>
          <w:rFonts w:asciiTheme="minorHAnsi" w:hAnsiTheme="minorHAnsi"/>
          <w:i/>
          <w:iCs/>
        </w:rPr>
        <w:t>Id</w:t>
      </w:r>
      <w:r w:rsidRPr="005E6E22">
        <w:rPr>
          <w:rFonts w:asciiTheme="minorHAnsi" w:hAnsiTheme="minorHAnsi"/>
        </w:rPr>
        <w:t xml:space="preserve">. at 17. Surety laws aimed at ensuring good behavior were meant to protect society from scandalous behavior. Such misbehavior sometimes included habitual drunkenness, but also included such diverse behaviors as frequenting brothels, public cursing, and blasphemy. To invoke these surety laws, no showing of dangerousness or risk of violence was necessary. [Note, the kind of good-behavior surety laws discussed here are distinct from the type of surety laws aimed at preventing violence that were discussed in the </w:t>
      </w:r>
      <w:r w:rsidRPr="005E6E22">
        <w:rPr>
          <w:rFonts w:asciiTheme="minorHAnsi" w:hAnsiTheme="minorHAnsi"/>
          <w:i/>
          <w:iCs/>
        </w:rPr>
        <w:t xml:space="preserve">Rahimi </w:t>
      </w:r>
      <w:r w:rsidRPr="005E6E22">
        <w:rPr>
          <w:rFonts w:asciiTheme="minorHAnsi" w:hAnsiTheme="minorHAnsi"/>
        </w:rPr>
        <w:t>decision.]</w:t>
      </w:r>
    </w:p>
    <w:p w14:paraId="114F1367" w14:textId="77777777" w:rsidR="004D7F15" w:rsidRPr="005E6E22" w:rsidRDefault="004D7F15" w:rsidP="005E6E22">
      <w:pPr>
        <w:spacing w:after="0" w:line="240" w:lineRule="auto"/>
        <w:rPr>
          <w:rFonts w:asciiTheme="minorHAnsi" w:hAnsiTheme="minorHAnsi"/>
        </w:rPr>
      </w:pPr>
    </w:p>
    <w:p w14:paraId="0165C18F"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Additionally, people subject to historical habitual drunkard laws were usually given some type of pre-deprivation due </w:t>
      </w:r>
      <w:proofErr w:type="gramStart"/>
      <w:r w:rsidRPr="005E6E22">
        <w:rPr>
          <w:rFonts w:asciiTheme="minorHAnsi" w:hAnsiTheme="minorHAnsi"/>
        </w:rPr>
        <w:t>process</w:t>
      </w:r>
      <w:proofErr w:type="gramEnd"/>
      <w:r w:rsidRPr="005E6E22">
        <w:rPr>
          <w:rFonts w:asciiTheme="minorHAnsi" w:hAnsiTheme="minorHAnsi"/>
        </w:rPr>
        <w:t>. Vagrants could only be detained after a criminal conviction; a habitual drunkard could not be committed or assigned a guardian without a probate action or similar proceeding; surety laws involved a hearing before a magistrate or similar official. § 922(g)(3), by contrast, operates automatically and without any pre-disarmament process.</w:t>
      </w:r>
    </w:p>
    <w:p w14:paraId="49B263C8" w14:textId="77777777" w:rsidR="004D7F15" w:rsidRPr="005E6E22" w:rsidRDefault="004D7F15" w:rsidP="005E6E22">
      <w:pPr>
        <w:spacing w:after="0" w:line="240" w:lineRule="auto"/>
        <w:rPr>
          <w:rFonts w:asciiTheme="minorHAnsi" w:hAnsiTheme="minorHAnsi"/>
        </w:rPr>
      </w:pPr>
    </w:p>
    <w:p w14:paraId="37BF2FF7"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Finally, two other factors weigh against the government’s argument that § 922(g)(3) is meant to protect the public from dangerous people. Because the statute is tied to the CSA, it reaches far beyond dangerous drug users and instead applies to anyone who uses a controlled substance unlawfully. Further, the government’s overall approach to marijuana is inconsistent with categorical disarmament of marijuana users. The government has recently begun the process of rescheduling marijuana from a Schedule I drug to a Schedule III; the Department of Justice has long had a policy to restrain prosecutions against marijuana users; and the clear majority of states, along with three territories and the District of Columbia, permit some version of legal marijuana use. “All of which leaves [the government] awkwardly positioned to suggest that the millions of Americans who now regularly use marijuana are categorically and unusually dangerous.” </w:t>
      </w:r>
      <w:r w:rsidRPr="005E6E22">
        <w:rPr>
          <w:rFonts w:asciiTheme="minorHAnsi" w:hAnsiTheme="minorHAnsi"/>
          <w:i/>
          <w:iCs/>
        </w:rPr>
        <w:t>Id</w:t>
      </w:r>
      <w:r w:rsidRPr="005E6E22">
        <w:rPr>
          <w:rFonts w:asciiTheme="minorHAnsi" w:hAnsiTheme="minorHAnsi"/>
        </w:rPr>
        <w:t>. at 21-22.</w:t>
      </w:r>
    </w:p>
    <w:p w14:paraId="642D4B3B" w14:textId="77777777" w:rsidR="0055460D" w:rsidRPr="005E6E22" w:rsidRDefault="0055460D" w:rsidP="005E6E22">
      <w:pPr>
        <w:spacing w:after="0" w:line="240" w:lineRule="auto"/>
        <w:rPr>
          <w:rFonts w:asciiTheme="minorHAnsi" w:hAnsiTheme="minorHAnsi"/>
        </w:rPr>
      </w:pPr>
    </w:p>
    <w:p w14:paraId="3C9FE63B"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The Court emphasized that its holding was narrow. This case does not address the “addicted to” prong of § 922(g)(3), nor any other provision of § 922(g). The Court also did not rule out that the government could make an individualized </w:t>
      </w:r>
      <w:proofErr w:type="gramStart"/>
      <w:r w:rsidRPr="005E6E22">
        <w:rPr>
          <w:rFonts w:asciiTheme="minorHAnsi" w:hAnsiTheme="minorHAnsi"/>
        </w:rPr>
        <w:t>showing</w:t>
      </w:r>
      <w:proofErr w:type="gramEnd"/>
      <w:r w:rsidRPr="005E6E22">
        <w:rPr>
          <w:rFonts w:asciiTheme="minorHAnsi" w:hAnsiTheme="minorHAnsi"/>
        </w:rPr>
        <w:t xml:space="preserve"> that a person’s habitual marijuana use (or use of another drug) rendered them dangerous and therefore subject to a potentially successful prosecution under § 922(g)(3). The Court merely held that the government failed to carry its burden to show that this prosecution was consistent with the Second Amendment.</w:t>
      </w:r>
    </w:p>
    <w:p w14:paraId="3B1B91D7" w14:textId="77777777" w:rsidR="0055460D" w:rsidRPr="005E6E22" w:rsidRDefault="0055460D" w:rsidP="005E6E22">
      <w:pPr>
        <w:spacing w:after="0" w:line="240" w:lineRule="auto"/>
        <w:rPr>
          <w:rFonts w:asciiTheme="minorHAnsi" w:hAnsiTheme="minorHAnsi"/>
        </w:rPr>
      </w:pPr>
    </w:p>
    <w:p w14:paraId="5D504005" w14:textId="77777777" w:rsidR="001B609D" w:rsidRDefault="001B609D" w:rsidP="005E6E22">
      <w:pPr>
        <w:spacing w:after="0" w:line="240" w:lineRule="auto"/>
        <w:rPr>
          <w:rFonts w:asciiTheme="minorHAnsi" w:hAnsiTheme="minorHAnsi"/>
        </w:rPr>
      </w:pPr>
      <w:r w:rsidRPr="005E6E22">
        <w:rPr>
          <w:rFonts w:asciiTheme="minorHAnsi" w:hAnsiTheme="minorHAnsi"/>
        </w:rPr>
        <w:t>The judgment of the Fifth Circuit Court of Appeals was therefore affirmed in full.</w:t>
      </w:r>
    </w:p>
    <w:p w14:paraId="611025BD" w14:textId="77777777" w:rsidR="004D63BF" w:rsidRPr="005E6E22" w:rsidRDefault="004D63BF" w:rsidP="005E6E22">
      <w:pPr>
        <w:spacing w:after="0" w:line="240" w:lineRule="auto"/>
        <w:rPr>
          <w:rFonts w:asciiTheme="minorHAnsi" w:hAnsiTheme="minorHAnsi"/>
        </w:rPr>
      </w:pPr>
    </w:p>
    <w:p w14:paraId="6AB4F0CE" w14:textId="77777777" w:rsidR="001B609D" w:rsidRDefault="001B609D" w:rsidP="005E6E22">
      <w:pPr>
        <w:spacing w:after="0" w:line="240" w:lineRule="auto"/>
        <w:rPr>
          <w:rFonts w:asciiTheme="minorHAnsi" w:hAnsiTheme="minorHAnsi"/>
        </w:rPr>
      </w:pPr>
      <w:r w:rsidRPr="005E6E22">
        <w:rPr>
          <w:rFonts w:asciiTheme="minorHAnsi" w:hAnsiTheme="minorHAnsi"/>
        </w:rPr>
        <w:t>Justice Thomas penned a separate concurrence. In his view, § 922(g) exceeds the bounds of authority granted to Congress under the Commerce Clause. He suggested that the Court revisit that issue in a future case.</w:t>
      </w:r>
    </w:p>
    <w:p w14:paraId="194743F0" w14:textId="77777777" w:rsidR="0055460D" w:rsidRPr="005E6E22" w:rsidRDefault="0055460D" w:rsidP="005E6E22">
      <w:pPr>
        <w:spacing w:after="0" w:line="240" w:lineRule="auto"/>
        <w:rPr>
          <w:rFonts w:asciiTheme="minorHAnsi" w:hAnsiTheme="minorHAnsi"/>
        </w:rPr>
      </w:pPr>
    </w:p>
    <w:p w14:paraId="3A870BBE" w14:textId="77777777" w:rsidR="001B609D" w:rsidRDefault="001B609D" w:rsidP="005E6E22">
      <w:pPr>
        <w:spacing w:after="0" w:line="240" w:lineRule="auto"/>
        <w:rPr>
          <w:rFonts w:asciiTheme="minorHAnsi" w:hAnsiTheme="minorHAnsi"/>
        </w:rPr>
      </w:pPr>
      <w:r w:rsidRPr="005E6E22">
        <w:rPr>
          <w:rFonts w:asciiTheme="minorHAnsi" w:hAnsiTheme="minorHAnsi"/>
        </w:rPr>
        <w:t xml:space="preserve">Justice Jackson also concurred separately, joined by Justice Sotomayor. They believed that the </w:t>
      </w:r>
      <w:r w:rsidRPr="005E6E22">
        <w:rPr>
          <w:rFonts w:asciiTheme="minorHAnsi" w:hAnsiTheme="minorHAnsi"/>
          <w:i/>
          <w:iCs/>
        </w:rPr>
        <w:t xml:space="preserve">Bruen </w:t>
      </w:r>
      <w:r w:rsidRPr="005E6E22">
        <w:rPr>
          <w:rFonts w:asciiTheme="minorHAnsi" w:hAnsiTheme="minorHAnsi"/>
        </w:rPr>
        <w:t xml:space="preserve">analysis is “unworkable,” and that the Court’s former approach to Second Amendment challenges of means-end scrutiny was the “more rational” analysis. </w:t>
      </w:r>
      <w:r w:rsidRPr="005E6E22">
        <w:rPr>
          <w:rFonts w:asciiTheme="minorHAnsi" w:hAnsiTheme="minorHAnsi"/>
          <w:i/>
          <w:iCs/>
        </w:rPr>
        <w:t>Id</w:t>
      </w:r>
      <w:r w:rsidRPr="005E6E22">
        <w:rPr>
          <w:rFonts w:asciiTheme="minorHAnsi" w:hAnsiTheme="minorHAnsi"/>
        </w:rPr>
        <w:t>. at 32 (Jackson, J., concurring).</w:t>
      </w:r>
    </w:p>
    <w:p w14:paraId="2A604711" w14:textId="77777777" w:rsidR="0055460D" w:rsidRPr="005E6E22" w:rsidRDefault="0055460D" w:rsidP="005E6E22">
      <w:pPr>
        <w:spacing w:after="0" w:line="240" w:lineRule="auto"/>
        <w:rPr>
          <w:rFonts w:asciiTheme="minorHAnsi" w:hAnsiTheme="minorHAnsi"/>
        </w:rPr>
      </w:pPr>
    </w:p>
    <w:p w14:paraId="69DA49FE" w14:textId="77777777" w:rsidR="001B609D" w:rsidRPr="005E6E22" w:rsidRDefault="001B609D" w:rsidP="005E6E22">
      <w:pPr>
        <w:spacing w:after="0" w:line="240" w:lineRule="auto"/>
        <w:rPr>
          <w:rFonts w:asciiTheme="minorHAnsi" w:hAnsiTheme="minorHAnsi"/>
        </w:rPr>
      </w:pPr>
      <w:r w:rsidRPr="005E6E22">
        <w:rPr>
          <w:rFonts w:asciiTheme="minorHAnsi" w:hAnsiTheme="minorHAnsi"/>
        </w:rPr>
        <w:t xml:space="preserve">Justice Alito, joined by Justice Kagan, also concurred separately. They would have affirmed on the grounds that the government’s justifications were “too far afield” to be applied to a regular marijuana user only, without further discussion. </w:t>
      </w:r>
      <w:r w:rsidRPr="005E6E22">
        <w:rPr>
          <w:rFonts w:asciiTheme="minorHAnsi" w:hAnsiTheme="minorHAnsi"/>
          <w:i/>
          <w:iCs/>
        </w:rPr>
        <w:t>Id</w:t>
      </w:r>
      <w:r w:rsidRPr="005E6E22">
        <w:rPr>
          <w:rFonts w:asciiTheme="minorHAnsi" w:hAnsiTheme="minorHAnsi"/>
        </w:rPr>
        <w:t>. at 39 (Alito, J., concurring).</w:t>
      </w:r>
    </w:p>
    <w:p w14:paraId="31B8E4B1" w14:textId="77777777" w:rsidR="001B609D" w:rsidRPr="005E6E22" w:rsidRDefault="001B609D" w:rsidP="005E6E22">
      <w:pPr>
        <w:spacing w:after="0" w:line="240" w:lineRule="auto"/>
        <w:rPr>
          <w:rFonts w:asciiTheme="minorHAnsi" w:hAnsiTheme="minorHAnsi"/>
        </w:rPr>
      </w:pPr>
    </w:p>
    <w:p w14:paraId="369879F5" w14:textId="77777777" w:rsidR="009C1DED" w:rsidRDefault="009C1DED" w:rsidP="005E6E22">
      <w:pPr>
        <w:spacing w:after="0" w:line="240" w:lineRule="auto"/>
        <w:rPr>
          <w:rFonts w:asciiTheme="minorHAnsi" w:hAnsiTheme="minorHAnsi"/>
          <w:b/>
        </w:rPr>
      </w:pPr>
      <w:r w:rsidRPr="005E6E22">
        <w:rPr>
          <w:rFonts w:asciiTheme="minorHAnsi" w:hAnsiTheme="minorHAnsi"/>
          <w:b/>
        </w:rPr>
        <w:t>A state law prohibiting individuals from carrying guns onto private property without the express approval of the property owner violates the Second Amendment.</w:t>
      </w:r>
    </w:p>
    <w:p w14:paraId="2CBE4A69" w14:textId="77777777" w:rsidR="000D4201" w:rsidRPr="005E6E22" w:rsidRDefault="000D4201" w:rsidP="005E6E22">
      <w:pPr>
        <w:spacing w:after="0" w:line="240" w:lineRule="auto"/>
        <w:rPr>
          <w:rFonts w:asciiTheme="minorHAnsi" w:hAnsiTheme="minorHAnsi"/>
        </w:rPr>
      </w:pPr>
    </w:p>
    <w:p w14:paraId="52BE68E1" w14:textId="5D3FC99D" w:rsidR="002F6100" w:rsidRDefault="009C1DED" w:rsidP="005E6E22">
      <w:pPr>
        <w:spacing w:after="0" w:line="240" w:lineRule="auto"/>
        <w:rPr>
          <w:rFonts w:asciiTheme="minorHAnsi" w:hAnsiTheme="minorHAnsi"/>
        </w:rPr>
      </w:pPr>
      <w:hyperlink r:id="rId9" w:history="1">
        <w:r w:rsidRPr="00942264">
          <w:rPr>
            <w:rStyle w:val="Hyperlink"/>
            <w:rFonts w:asciiTheme="minorHAnsi" w:hAnsiTheme="minorHAnsi"/>
            <w:b/>
          </w:rPr>
          <w:t>Wolford v. Lopez</w:t>
        </w:r>
      </w:hyperlink>
      <w:r w:rsidRPr="00942264">
        <w:rPr>
          <w:rFonts w:asciiTheme="minorHAnsi" w:hAnsiTheme="minorHAnsi"/>
          <w:bCs w:val="0"/>
        </w:rPr>
        <w:t>,</w:t>
      </w:r>
      <w:r w:rsidRPr="005B4840">
        <w:rPr>
          <w:rFonts w:asciiTheme="minorHAnsi" w:hAnsiTheme="minorHAnsi"/>
          <w:b/>
        </w:rPr>
        <w:t xml:space="preserve"> </w:t>
      </w:r>
      <w:r w:rsidR="00942264">
        <w:rPr>
          <w:rFonts w:asciiTheme="minorHAnsi" w:hAnsiTheme="minorHAnsi"/>
          <w:bCs w:val="0"/>
        </w:rPr>
        <w:t>609</w:t>
      </w:r>
      <w:r w:rsidRPr="005B4840">
        <w:rPr>
          <w:rFonts w:asciiTheme="minorHAnsi" w:hAnsiTheme="minorHAnsi"/>
          <w:bCs w:val="0"/>
        </w:rPr>
        <w:t xml:space="preserve"> U.S. __ (June 25, 2026) (Alito, J.).</w:t>
      </w:r>
      <w:r w:rsidRPr="005E6E22">
        <w:rPr>
          <w:rFonts w:asciiTheme="minorHAnsi" w:hAnsiTheme="minorHAnsi"/>
        </w:rPr>
        <w:t> </w:t>
      </w:r>
      <w:r w:rsidR="002F6100" w:rsidRPr="005E6E22">
        <w:rPr>
          <w:rFonts w:asciiTheme="minorHAnsi" w:hAnsiTheme="minorHAnsi"/>
        </w:rPr>
        <w:t>For years, Hawai’i licensed individuals to carry guns only in exceptional cases. After New York State Rifle &amp; Pistol Association, Inc. v. Bruen, 597 U.S. 1 (2022), it became clear that such restrictions violate the Second Amendment. Hawai’i responded by making licenses more readily available – but also by passing a new law prohibiting anyone from carrying a gun onto the private property of another without express permission. This “</w:t>
      </w:r>
      <w:proofErr w:type="spellStart"/>
      <w:r w:rsidR="002F6100" w:rsidRPr="005E6E22">
        <w:rPr>
          <w:rFonts w:asciiTheme="minorHAnsi" w:hAnsiTheme="minorHAnsi"/>
        </w:rPr>
        <w:t>flipp</w:t>
      </w:r>
      <w:proofErr w:type="spellEnd"/>
      <w:r w:rsidR="002F6100" w:rsidRPr="005E6E22">
        <w:rPr>
          <w:rFonts w:asciiTheme="minorHAnsi" w:hAnsiTheme="minorHAnsi"/>
        </w:rPr>
        <w:t xml:space="preserve">[ed] the default rule” under the common law that a person may enter private property that is open to the public regardless of </w:t>
      </w:r>
      <w:proofErr w:type="gramStart"/>
      <w:r w:rsidR="002F6100" w:rsidRPr="005E6E22">
        <w:rPr>
          <w:rFonts w:asciiTheme="minorHAnsi" w:hAnsiTheme="minorHAnsi"/>
        </w:rPr>
        <w:t>whether or not</w:t>
      </w:r>
      <w:proofErr w:type="gramEnd"/>
      <w:r w:rsidR="002F6100" w:rsidRPr="005E6E22">
        <w:rPr>
          <w:rFonts w:asciiTheme="minorHAnsi" w:hAnsiTheme="minorHAnsi"/>
        </w:rPr>
        <w:t xml:space="preserve"> the person is armed.</w:t>
      </w:r>
    </w:p>
    <w:p w14:paraId="27A85FCD" w14:textId="77777777" w:rsidR="00942264" w:rsidRPr="005E6E22" w:rsidRDefault="00942264" w:rsidP="005E6E22">
      <w:pPr>
        <w:spacing w:after="0" w:line="240" w:lineRule="auto"/>
        <w:rPr>
          <w:rFonts w:asciiTheme="minorHAnsi" w:hAnsiTheme="minorHAnsi"/>
        </w:rPr>
      </w:pPr>
    </w:p>
    <w:p w14:paraId="6DCA62CA" w14:textId="77777777" w:rsidR="002F6100" w:rsidRDefault="002F6100" w:rsidP="005E6E22">
      <w:pPr>
        <w:spacing w:after="0" w:line="240" w:lineRule="auto"/>
        <w:rPr>
          <w:rFonts w:asciiTheme="minorHAnsi" w:hAnsiTheme="minorHAnsi"/>
        </w:rPr>
      </w:pPr>
      <w:r w:rsidRPr="005E6E22">
        <w:rPr>
          <w:rFonts w:asciiTheme="minorHAnsi" w:hAnsiTheme="minorHAnsi"/>
        </w:rPr>
        <w:t>Three concealed carry permit holders and a gun rights organization sued, challenging the constitutionality of the new law. A district court agreed with the plaintiffs and enjoined enforcement of the measure. The Ninth Circuit reversed. The Supreme Court reversed again, determining that the law contravened the Second Amendment. Justice Alito wrote the majority opinion, which the other five conservative Justices joined. The three liberal Justices dissented.</w:t>
      </w:r>
    </w:p>
    <w:p w14:paraId="41988AA2" w14:textId="77777777" w:rsidR="00942264" w:rsidRPr="005E6E22" w:rsidRDefault="00942264" w:rsidP="005E6E22">
      <w:pPr>
        <w:spacing w:after="0" w:line="240" w:lineRule="auto"/>
        <w:rPr>
          <w:rFonts w:asciiTheme="minorHAnsi" w:hAnsiTheme="minorHAnsi"/>
        </w:rPr>
      </w:pPr>
    </w:p>
    <w:p w14:paraId="083CE489" w14:textId="77777777" w:rsidR="002F6100" w:rsidRPr="005E6E22" w:rsidRDefault="002F6100" w:rsidP="005E6E22">
      <w:pPr>
        <w:spacing w:after="0" w:line="240" w:lineRule="auto"/>
        <w:rPr>
          <w:rFonts w:asciiTheme="minorHAnsi" w:hAnsiTheme="minorHAnsi"/>
        </w:rPr>
      </w:pPr>
      <w:r w:rsidRPr="005E6E22">
        <w:rPr>
          <w:rFonts w:asciiTheme="minorHAnsi" w:hAnsiTheme="minorHAnsi"/>
        </w:rPr>
        <w:t xml:space="preserve">Following the approach established in Bruen, the majority first considered whether </w:t>
      </w:r>
      <w:proofErr w:type="gramStart"/>
      <w:r w:rsidRPr="005E6E22">
        <w:rPr>
          <w:rFonts w:asciiTheme="minorHAnsi" w:hAnsiTheme="minorHAnsi"/>
        </w:rPr>
        <w:t>the Hawai’i</w:t>
      </w:r>
      <w:proofErr w:type="gramEnd"/>
      <w:r w:rsidRPr="005E6E22">
        <w:rPr>
          <w:rFonts w:asciiTheme="minorHAnsi" w:hAnsiTheme="minorHAnsi"/>
        </w:rPr>
        <w:t xml:space="preserve"> law </w:t>
      </w:r>
      <w:proofErr w:type="gramStart"/>
      <w:r w:rsidRPr="005E6E22">
        <w:rPr>
          <w:rFonts w:asciiTheme="minorHAnsi" w:hAnsiTheme="minorHAnsi"/>
        </w:rPr>
        <w:t>actually burdens</w:t>
      </w:r>
      <w:proofErr w:type="gramEnd"/>
      <w:r w:rsidRPr="005E6E22">
        <w:rPr>
          <w:rFonts w:asciiTheme="minorHAnsi" w:hAnsiTheme="minorHAnsi"/>
        </w:rPr>
        <w:t xml:space="preserve"> the right to bear arms. Under either the common law rule or the Hawai’i approach, private property owners may choose to allow, or to prohibit, armed visitors. However, the majority emphasized that the choice of default rule is significant because many property owners will abide by the default out of apathy or out of a reluctance to be seen as favoring or opposing a particular position on a controversial issue. Therefore, the Court reasoned that the law does implicate the Second Amendment.</w:t>
      </w:r>
    </w:p>
    <w:p w14:paraId="231806B5" w14:textId="77777777" w:rsidR="002F6100" w:rsidRDefault="002F6100" w:rsidP="005E6E22">
      <w:pPr>
        <w:spacing w:after="0" w:line="240" w:lineRule="auto"/>
        <w:rPr>
          <w:rFonts w:asciiTheme="minorHAnsi" w:hAnsiTheme="minorHAnsi"/>
        </w:rPr>
      </w:pPr>
      <w:r w:rsidRPr="005E6E22">
        <w:rPr>
          <w:rFonts w:asciiTheme="minorHAnsi" w:hAnsiTheme="minorHAnsi"/>
        </w:rPr>
        <w:t xml:space="preserve">Still following the methodology of Bruen, the Court then asked whether there </w:t>
      </w:r>
      <w:proofErr w:type="gramStart"/>
      <w:r w:rsidRPr="005E6E22">
        <w:rPr>
          <w:rFonts w:asciiTheme="minorHAnsi" w:hAnsiTheme="minorHAnsi"/>
        </w:rPr>
        <w:t>are</w:t>
      </w:r>
      <w:proofErr w:type="gramEnd"/>
      <w:r w:rsidRPr="005E6E22">
        <w:rPr>
          <w:rFonts w:asciiTheme="minorHAnsi" w:hAnsiTheme="minorHAnsi"/>
        </w:rPr>
        <w:t xml:space="preserve"> historical analogues to the challenged law that would show that the challenged law is consistent with the history and tradition of firearm regulations at the time the Constitution was adopted. Hawai’i argued that the law was consistent with its own long-standing antipathy towards private ownership of firearms, but the majority rejected the idea that “local attitudes” could determine the “general understanding” of the right to keep and bear arms. Hawai’i then pointed to some potential historical precursors, principally </w:t>
      </w:r>
      <w:proofErr w:type="gramStart"/>
      <w:r w:rsidRPr="005E6E22">
        <w:rPr>
          <w:rFonts w:asciiTheme="minorHAnsi" w:hAnsiTheme="minorHAnsi"/>
        </w:rPr>
        <w:t>Colonial-era</w:t>
      </w:r>
      <w:proofErr w:type="gramEnd"/>
      <w:r w:rsidRPr="005E6E22">
        <w:rPr>
          <w:rFonts w:asciiTheme="minorHAnsi" w:hAnsiTheme="minorHAnsi"/>
        </w:rPr>
        <w:t xml:space="preserve"> “laws that prohibited unauthorized hunting of deer or small game on someone else’s private property.” The majority highlighted that these laws were focused on unauthorized hunting specifically, which carries risks related to the discharge of firearms and the theft of game animals, not on the mere carrying of guns into businesses and other locations intended to be used by members of the public. Therefore, the early American laws did not provide a historical basis sufficient to bring the Hawai’i law within the scope of the Second Amendment, and the Court struck it down as unconstitutional.</w:t>
      </w:r>
    </w:p>
    <w:p w14:paraId="10F30774" w14:textId="77777777" w:rsidR="00942264" w:rsidRPr="005E6E22" w:rsidRDefault="00942264" w:rsidP="005E6E22">
      <w:pPr>
        <w:spacing w:after="0" w:line="240" w:lineRule="auto"/>
        <w:rPr>
          <w:rFonts w:asciiTheme="minorHAnsi" w:hAnsiTheme="minorHAnsi"/>
        </w:rPr>
      </w:pPr>
    </w:p>
    <w:p w14:paraId="6BC6044D" w14:textId="77777777" w:rsidR="002F6100" w:rsidRPr="005E6E22" w:rsidRDefault="002F6100" w:rsidP="005E6E22">
      <w:pPr>
        <w:spacing w:after="0" w:line="240" w:lineRule="auto"/>
        <w:rPr>
          <w:rFonts w:asciiTheme="minorHAnsi" w:hAnsiTheme="minorHAnsi"/>
        </w:rPr>
      </w:pPr>
      <w:r w:rsidRPr="005E6E22">
        <w:rPr>
          <w:rFonts w:asciiTheme="minorHAnsi" w:hAnsiTheme="minorHAnsi"/>
        </w:rPr>
        <w:t xml:space="preserve">Justice Barrett, joined in part by Justices Thomas and Gorsuch, concurred. She wrote separately to “add a few points” about her understanding of Bruen and how it applied to this case. One item of interest is an analogy she used to illustrate why, in her view, the choice of default rules is so important. She imagined “a </w:t>
      </w:r>
      <w:proofErr w:type="gramStart"/>
      <w:r w:rsidRPr="005E6E22">
        <w:rPr>
          <w:rFonts w:asciiTheme="minorHAnsi" w:hAnsiTheme="minorHAnsi"/>
        </w:rPr>
        <w:t>State</w:t>
      </w:r>
      <w:proofErr w:type="gramEnd"/>
      <w:r w:rsidRPr="005E6E22">
        <w:rPr>
          <w:rFonts w:asciiTheme="minorHAnsi" w:hAnsiTheme="minorHAnsi"/>
        </w:rPr>
        <w:t xml:space="preserve"> ma[king] it a crime to wear religious head garb (say, a hijab) onto private property open to the public without obtaining express authorization,” which she suggested would be a First Amendment problem.</w:t>
      </w:r>
    </w:p>
    <w:p w14:paraId="269FE0CE" w14:textId="77777777" w:rsidR="002F6100" w:rsidRDefault="002F6100" w:rsidP="005E6E22">
      <w:pPr>
        <w:spacing w:after="0" w:line="240" w:lineRule="auto"/>
        <w:rPr>
          <w:rFonts w:asciiTheme="minorHAnsi" w:hAnsiTheme="minorHAnsi"/>
        </w:rPr>
      </w:pPr>
      <w:r w:rsidRPr="005E6E22">
        <w:rPr>
          <w:rFonts w:asciiTheme="minorHAnsi" w:hAnsiTheme="minorHAnsi"/>
        </w:rPr>
        <w:t xml:space="preserve">Justice Jackson wrote the principal dissent. She first argued that the Hawai’i law does not burden the right to bear arms at all. All the Justices agree that there is no right to bring weapons onto private property against the wishes of the property owner. The Hawai’i law merely establishes what the background rule is (property owners are presumed not to allow guns) and how exceptions to the rule may be created (clear signage or express oral or written permission). The law says nothing about what choices property owners should make against the background rule, and so directly determines nothing about how widely guns may be carried. Then she reasoned that, even if the law burdens the right to bear arms, the historical analogues offered by Hawai’i demonstrated that the law is consistent with the Second Amendment. She acknowledged that some of the precedents were focused on hunting </w:t>
      </w:r>
      <w:proofErr w:type="gramStart"/>
      <w:r w:rsidRPr="005E6E22">
        <w:rPr>
          <w:rFonts w:asciiTheme="minorHAnsi" w:hAnsiTheme="minorHAnsi"/>
        </w:rPr>
        <w:t>an</w:t>
      </w:r>
      <w:proofErr w:type="gramEnd"/>
      <w:r w:rsidRPr="005E6E22">
        <w:rPr>
          <w:rFonts w:asciiTheme="minorHAnsi" w:hAnsiTheme="minorHAnsi"/>
        </w:rPr>
        <w:t xml:space="preserve"> open </w:t>
      </w:r>
      <w:proofErr w:type="gramStart"/>
      <w:r w:rsidRPr="005E6E22">
        <w:rPr>
          <w:rFonts w:asciiTheme="minorHAnsi" w:hAnsiTheme="minorHAnsi"/>
        </w:rPr>
        <w:t>spaces, but</w:t>
      </w:r>
      <w:proofErr w:type="gramEnd"/>
      <w:r w:rsidRPr="005E6E22">
        <w:rPr>
          <w:rFonts w:asciiTheme="minorHAnsi" w:hAnsiTheme="minorHAnsi"/>
        </w:rPr>
        <w:t xml:space="preserve"> noted that others applied more broadly. And some of the proffered measures were animated by concerns about property rights and the dangers of armed trespass, </w:t>
      </w:r>
      <w:proofErr w:type="gramStart"/>
      <w:r w:rsidRPr="005E6E22">
        <w:rPr>
          <w:rFonts w:asciiTheme="minorHAnsi" w:hAnsiTheme="minorHAnsi"/>
        </w:rPr>
        <w:t>similar to</w:t>
      </w:r>
      <w:proofErr w:type="gramEnd"/>
      <w:r w:rsidRPr="005E6E22">
        <w:rPr>
          <w:rFonts w:asciiTheme="minorHAnsi" w:hAnsiTheme="minorHAnsi"/>
        </w:rPr>
        <w:t xml:space="preserve"> the impetus for the Hawai’i law. The majority’s </w:t>
      </w:r>
      <w:proofErr w:type="gramStart"/>
      <w:r w:rsidRPr="005E6E22">
        <w:rPr>
          <w:rFonts w:asciiTheme="minorHAnsi" w:hAnsiTheme="minorHAnsi"/>
        </w:rPr>
        <w:t>decision</w:t>
      </w:r>
      <w:proofErr w:type="gramEnd"/>
      <w:r w:rsidRPr="005E6E22">
        <w:rPr>
          <w:rFonts w:asciiTheme="minorHAnsi" w:hAnsiTheme="minorHAnsi"/>
        </w:rPr>
        <w:t xml:space="preserve"> otherwise, in her view, turns </w:t>
      </w:r>
      <w:r w:rsidRPr="002848E7">
        <w:rPr>
          <w:rFonts w:asciiTheme="minorHAnsi" w:hAnsiTheme="minorHAnsi"/>
          <w:i/>
          <w:iCs/>
        </w:rPr>
        <w:t>Bruen</w:t>
      </w:r>
      <w:r w:rsidRPr="005E6E22">
        <w:rPr>
          <w:rFonts w:asciiTheme="minorHAnsi" w:hAnsiTheme="minorHAnsi"/>
        </w:rPr>
        <w:t xml:space="preserve"> into a “fig leaf.”</w:t>
      </w:r>
    </w:p>
    <w:p w14:paraId="3B370775" w14:textId="77777777" w:rsidR="002848E7" w:rsidRPr="005E6E22" w:rsidRDefault="002848E7" w:rsidP="005E6E22">
      <w:pPr>
        <w:spacing w:after="0" w:line="240" w:lineRule="auto"/>
        <w:rPr>
          <w:rFonts w:asciiTheme="minorHAnsi" w:hAnsiTheme="minorHAnsi"/>
        </w:rPr>
      </w:pPr>
    </w:p>
    <w:p w14:paraId="5E8008CA" w14:textId="77777777" w:rsidR="002F6100" w:rsidRDefault="002F6100" w:rsidP="005E6E22">
      <w:pPr>
        <w:spacing w:after="0" w:line="240" w:lineRule="auto"/>
        <w:rPr>
          <w:rFonts w:asciiTheme="minorHAnsi" w:hAnsiTheme="minorHAnsi"/>
        </w:rPr>
      </w:pPr>
      <w:r w:rsidRPr="005E6E22">
        <w:rPr>
          <w:rFonts w:asciiTheme="minorHAnsi" w:hAnsiTheme="minorHAnsi"/>
        </w:rPr>
        <w:t>Justice Kagan wrote a brief dissent, essentially reasoning that Hawai’i’s historical analogues were sufficient to establish the law’s constitutionality and therefore declining to weigh in on the debate around whether step one of Bruen was satisfied. She also declined to analyze a dispute between the majority and the principal dissent about Hawai’i’s citation to the Louisiana Black Code in connection with step two of Bruen, a debate that I have not attempted to summarize here because it is not crucial to the outcome of the case.</w:t>
      </w:r>
    </w:p>
    <w:p w14:paraId="7B449DCD" w14:textId="77777777" w:rsidR="00AC225B" w:rsidRPr="005E6E22" w:rsidRDefault="00AC225B" w:rsidP="005E6E22">
      <w:pPr>
        <w:spacing w:after="0" w:line="240" w:lineRule="auto"/>
        <w:rPr>
          <w:rFonts w:asciiTheme="minorHAnsi" w:hAnsiTheme="minorHAnsi"/>
        </w:rPr>
      </w:pPr>
    </w:p>
    <w:p w14:paraId="128B6F5E" w14:textId="0D04916A" w:rsidR="009C1DED" w:rsidRPr="005E6E22" w:rsidRDefault="002F6100" w:rsidP="005E6E22">
      <w:pPr>
        <w:spacing w:after="0" w:line="240" w:lineRule="auto"/>
        <w:rPr>
          <w:rFonts w:asciiTheme="minorHAnsi" w:hAnsiTheme="minorHAnsi"/>
        </w:rPr>
      </w:pPr>
      <w:r w:rsidRPr="005E6E22">
        <w:rPr>
          <w:rFonts w:asciiTheme="minorHAnsi" w:hAnsiTheme="minorHAnsi"/>
        </w:rPr>
        <w:t>The case may have implications for four other states that reportedly have similar laws: California, Maryland, New Jersey, and New York. It does not appear to have direct, immediate implications for North Carolina, though the Court’s opinion continues to contribute to our understanding of the Bruen test and the Second Amendment rights that it protects.</w:t>
      </w:r>
    </w:p>
    <w:p w14:paraId="41559ADD" w14:textId="77777777" w:rsidR="00815FC0" w:rsidRPr="005E6E22" w:rsidRDefault="00815FC0" w:rsidP="005E6E22">
      <w:pPr>
        <w:spacing w:after="0" w:line="240" w:lineRule="auto"/>
        <w:rPr>
          <w:rFonts w:asciiTheme="minorHAnsi" w:hAnsiTheme="minorHAnsi"/>
          <w:b/>
        </w:rPr>
      </w:pPr>
    </w:p>
    <w:p w14:paraId="5469C2F4" w14:textId="461E6144" w:rsidR="00421341" w:rsidRPr="005E6E22" w:rsidRDefault="00421341" w:rsidP="005E6E22">
      <w:pPr>
        <w:pStyle w:val="Heading1"/>
        <w:spacing w:before="0" w:after="0" w:line="240" w:lineRule="auto"/>
        <w:rPr>
          <w:rFonts w:asciiTheme="minorHAnsi" w:hAnsiTheme="minorHAnsi"/>
          <w:sz w:val="28"/>
          <w:szCs w:val="28"/>
        </w:rPr>
      </w:pPr>
      <w:bookmarkStart w:id="1" w:name="_Toc242024763"/>
      <w:r w:rsidRPr="005E6E22">
        <w:rPr>
          <w:rFonts w:asciiTheme="minorHAnsi" w:hAnsiTheme="minorHAnsi"/>
          <w:sz w:val="28"/>
          <w:szCs w:val="28"/>
        </w:rPr>
        <w:t>Search and Seizure</w:t>
      </w:r>
      <w:bookmarkEnd w:id="1"/>
    </w:p>
    <w:p w14:paraId="780333D9" w14:textId="77777777" w:rsidR="00993E9C" w:rsidRPr="005E6E22" w:rsidRDefault="00993E9C" w:rsidP="005E6E22">
      <w:pPr>
        <w:spacing w:after="0" w:line="240" w:lineRule="auto"/>
        <w:rPr>
          <w:rFonts w:asciiTheme="minorHAnsi" w:hAnsiTheme="minorHAnsi"/>
        </w:rPr>
      </w:pPr>
    </w:p>
    <w:p w14:paraId="2DC26C04" w14:textId="16B69E10" w:rsidR="00351773" w:rsidRDefault="00351773" w:rsidP="005E6E22">
      <w:pPr>
        <w:spacing w:after="0" w:line="240" w:lineRule="auto"/>
        <w:rPr>
          <w:rFonts w:asciiTheme="minorHAnsi" w:hAnsiTheme="minorHAnsi"/>
          <w:b/>
          <w:bCs w:val="0"/>
        </w:rPr>
      </w:pPr>
      <w:r w:rsidRPr="005E6E22">
        <w:rPr>
          <w:rFonts w:asciiTheme="minorHAnsi" w:hAnsiTheme="minorHAnsi"/>
          <w:b/>
          <w:bCs w:val="0"/>
        </w:rPr>
        <w:t>An individual has a reasonable expectation of privacy in records about his cell phone’s location, and police intrude on that constitutionally protected interest when they demand the information—even though for only a limited time, and from a third-party tech company.</w:t>
      </w:r>
    </w:p>
    <w:p w14:paraId="22C17292" w14:textId="77777777" w:rsidR="00574D76" w:rsidRPr="005E6E22" w:rsidRDefault="00574D76" w:rsidP="005E6E22">
      <w:pPr>
        <w:spacing w:after="0" w:line="240" w:lineRule="auto"/>
        <w:rPr>
          <w:rFonts w:asciiTheme="minorHAnsi" w:hAnsiTheme="minorHAnsi"/>
          <w:b/>
          <w:bCs w:val="0"/>
        </w:rPr>
      </w:pPr>
    </w:p>
    <w:p w14:paraId="72B5DD3A" w14:textId="54A7E0A3" w:rsidR="00A856ED" w:rsidRDefault="00BE336E" w:rsidP="005E6E22">
      <w:pPr>
        <w:spacing w:after="0" w:line="240" w:lineRule="auto"/>
        <w:rPr>
          <w:rFonts w:asciiTheme="minorHAnsi" w:hAnsiTheme="minorHAnsi"/>
        </w:rPr>
      </w:pPr>
      <w:hyperlink r:id="rId10" w:history="1">
        <w:r w:rsidRPr="005E6E22">
          <w:rPr>
            <w:rStyle w:val="Hyperlink"/>
            <w:rFonts w:asciiTheme="minorHAnsi" w:hAnsiTheme="minorHAnsi"/>
            <w:b/>
          </w:rPr>
          <w:t xml:space="preserve">United States v. </w:t>
        </w:r>
        <w:proofErr w:type="spellStart"/>
        <w:r w:rsidRPr="005E6E22">
          <w:rPr>
            <w:rStyle w:val="Hyperlink"/>
            <w:rFonts w:asciiTheme="minorHAnsi" w:hAnsiTheme="minorHAnsi"/>
            <w:b/>
          </w:rPr>
          <w:t>Chatrie</w:t>
        </w:r>
        <w:proofErr w:type="spellEnd"/>
      </w:hyperlink>
      <w:r w:rsidRPr="005E6E22">
        <w:rPr>
          <w:rFonts w:asciiTheme="minorHAnsi" w:hAnsiTheme="minorHAnsi"/>
        </w:rPr>
        <w:t xml:space="preserve">, </w:t>
      </w:r>
      <w:r w:rsidR="005B030C" w:rsidRPr="005E6E22">
        <w:rPr>
          <w:rFonts w:asciiTheme="minorHAnsi" w:hAnsiTheme="minorHAnsi"/>
        </w:rPr>
        <w:t>609</w:t>
      </w:r>
      <w:r w:rsidRPr="005E6E22">
        <w:rPr>
          <w:rFonts w:asciiTheme="minorHAnsi" w:hAnsiTheme="minorHAnsi"/>
        </w:rPr>
        <w:t xml:space="preserve"> U.S. __ (June 29, 2026)</w:t>
      </w:r>
      <w:r w:rsidR="000A3777" w:rsidRPr="005E6E22">
        <w:rPr>
          <w:rFonts w:asciiTheme="minorHAnsi" w:hAnsiTheme="minorHAnsi"/>
        </w:rPr>
        <w:t xml:space="preserve"> (Kagan, J.)</w:t>
      </w:r>
      <w:r w:rsidR="00E821CE" w:rsidRPr="005E6E22">
        <w:rPr>
          <w:rFonts w:asciiTheme="minorHAnsi" w:hAnsiTheme="minorHAnsi"/>
        </w:rPr>
        <w:t xml:space="preserve">. </w:t>
      </w:r>
      <w:r w:rsidR="00F50F19" w:rsidRPr="005E6E22">
        <w:rPr>
          <w:rFonts w:asciiTheme="minorHAnsi" w:hAnsiTheme="minorHAnsi"/>
        </w:rPr>
        <w:t xml:space="preserve">The petitioner was charged with </w:t>
      </w:r>
      <w:r w:rsidR="008D738A" w:rsidRPr="005E6E22">
        <w:rPr>
          <w:rFonts w:asciiTheme="minorHAnsi" w:hAnsiTheme="minorHAnsi"/>
        </w:rPr>
        <w:t xml:space="preserve">robbery of a credit union in Virginia. </w:t>
      </w:r>
      <w:r w:rsidR="00A82FA6" w:rsidRPr="005E6E22">
        <w:rPr>
          <w:rFonts w:asciiTheme="minorHAnsi" w:hAnsiTheme="minorHAnsi"/>
        </w:rPr>
        <w:t>Law enforcement officers obtained a geofence warrant</w:t>
      </w:r>
      <w:r w:rsidR="00C41F9A" w:rsidRPr="005E6E22">
        <w:rPr>
          <w:rFonts w:asciiTheme="minorHAnsi" w:hAnsiTheme="minorHAnsi"/>
        </w:rPr>
        <w:t>, which required Google to turn over location history data revealing cell phone</w:t>
      </w:r>
      <w:r w:rsidR="0082594F" w:rsidRPr="005E6E22">
        <w:rPr>
          <w:rFonts w:asciiTheme="minorHAnsi" w:hAnsiTheme="minorHAnsi"/>
        </w:rPr>
        <w:t>s</w:t>
      </w:r>
      <w:r w:rsidR="00C41F9A" w:rsidRPr="005E6E22">
        <w:rPr>
          <w:rFonts w:asciiTheme="minorHAnsi" w:hAnsiTheme="minorHAnsi"/>
        </w:rPr>
        <w:t xml:space="preserve"> within the vicinity of the bank at the time it was robbed. At the end of a multi-step process, Google provided law enforcement with three names. The government soon charged </w:t>
      </w:r>
      <w:r w:rsidR="00B9455B" w:rsidRPr="005E6E22">
        <w:rPr>
          <w:rFonts w:asciiTheme="minorHAnsi" w:hAnsiTheme="minorHAnsi"/>
        </w:rPr>
        <w:t xml:space="preserve">the petitioner, whose name was among those provided. </w:t>
      </w:r>
    </w:p>
    <w:p w14:paraId="46102D72" w14:textId="77777777" w:rsidR="00574D76" w:rsidRPr="005E6E22" w:rsidRDefault="00574D76" w:rsidP="005E6E22">
      <w:pPr>
        <w:spacing w:after="0" w:line="240" w:lineRule="auto"/>
        <w:rPr>
          <w:rFonts w:asciiTheme="minorHAnsi" w:hAnsiTheme="minorHAnsi"/>
        </w:rPr>
      </w:pPr>
    </w:p>
    <w:p w14:paraId="62E17936" w14:textId="0DAD1A2C" w:rsidR="00A856ED" w:rsidRDefault="008D09EB" w:rsidP="005E6E22">
      <w:pPr>
        <w:spacing w:after="0" w:line="240" w:lineRule="auto"/>
        <w:rPr>
          <w:rFonts w:asciiTheme="minorHAnsi" w:hAnsiTheme="minorHAnsi"/>
        </w:rPr>
      </w:pPr>
      <w:r w:rsidRPr="005E6E22">
        <w:rPr>
          <w:rFonts w:asciiTheme="minorHAnsi" w:hAnsiTheme="minorHAnsi"/>
        </w:rPr>
        <w:t xml:space="preserve">The petitioner moved to </w:t>
      </w:r>
      <w:r w:rsidR="00A370E9" w:rsidRPr="005E6E22">
        <w:rPr>
          <w:rFonts w:asciiTheme="minorHAnsi" w:hAnsiTheme="minorHAnsi"/>
        </w:rPr>
        <w:t>suppress the information that officers had obtained from Google on the basis that they had acquired the data through a Fourth Amendment search and</w:t>
      </w:r>
      <w:r w:rsidR="003B1883" w:rsidRPr="005E6E22">
        <w:rPr>
          <w:rFonts w:asciiTheme="minorHAnsi" w:hAnsiTheme="minorHAnsi"/>
        </w:rPr>
        <w:t xml:space="preserve"> that</w:t>
      </w:r>
      <w:r w:rsidR="00A370E9" w:rsidRPr="005E6E22">
        <w:rPr>
          <w:rFonts w:asciiTheme="minorHAnsi" w:hAnsiTheme="minorHAnsi"/>
        </w:rPr>
        <w:t xml:space="preserve"> the warrant authorizing the search was invalid. The trial court </w:t>
      </w:r>
      <w:r w:rsidR="00D208E4" w:rsidRPr="005E6E22">
        <w:rPr>
          <w:rFonts w:asciiTheme="minorHAnsi" w:hAnsiTheme="minorHAnsi"/>
        </w:rPr>
        <w:t xml:space="preserve">agreed with the petitioner’s analysis but </w:t>
      </w:r>
      <w:r w:rsidR="00A370E9" w:rsidRPr="005E6E22">
        <w:rPr>
          <w:rFonts w:asciiTheme="minorHAnsi" w:hAnsiTheme="minorHAnsi"/>
        </w:rPr>
        <w:t xml:space="preserve">denied the motion to </w:t>
      </w:r>
      <w:r w:rsidR="00D208E4" w:rsidRPr="005E6E22">
        <w:rPr>
          <w:rFonts w:asciiTheme="minorHAnsi" w:hAnsiTheme="minorHAnsi"/>
        </w:rPr>
        <w:t xml:space="preserve">suppress </w:t>
      </w:r>
      <w:r w:rsidR="00934B46" w:rsidRPr="005E6E22">
        <w:rPr>
          <w:rFonts w:asciiTheme="minorHAnsi" w:hAnsiTheme="minorHAnsi"/>
        </w:rPr>
        <w:t xml:space="preserve">based on the good faith exception. </w:t>
      </w:r>
      <w:r w:rsidR="00E80049" w:rsidRPr="005E6E22">
        <w:rPr>
          <w:rFonts w:asciiTheme="minorHAnsi" w:hAnsiTheme="minorHAnsi"/>
        </w:rPr>
        <w:t xml:space="preserve">The petitioner pled guilty and appealed. </w:t>
      </w:r>
      <w:r w:rsidR="004B42B4" w:rsidRPr="005E6E22">
        <w:rPr>
          <w:rFonts w:asciiTheme="minorHAnsi" w:hAnsiTheme="minorHAnsi"/>
        </w:rPr>
        <w:t>A divided panel of the</w:t>
      </w:r>
      <w:r w:rsidR="00934B46" w:rsidRPr="005E6E22">
        <w:rPr>
          <w:rFonts w:asciiTheme="minorHAnsi" w:hAnsiTheme="minorHAnsi"/>
        </w:rPr>
        <w:t xml:space="preserve"> Fourth Circuit affirmed on the basis that the government did not conduct a search. </w:t>
      </w:r>
      <w:r w:rsidR="004B42B4" w:rsidRPr="005E6E22">
        <w:rPr>
          <w:rFonts w:asciiTheme="minorHAnsi" w:hAnsiTheme="minorHAnsi"/>
        </w:rPr>
        <w:t xml:space="preserve">After granting rehearing </w:t>
      </w:r>
      <w:proofErr w:type="spellStart"/>
      <w:r w:rsidR="004B42B4" w:rsidRPr="005E6E22">
        <w:rPr>
          <w:rFonts w:asciiTheme="minorHAnsi" w:hAnsiTheme="minorHAnsi"/>
        </w:rPr>
        <w:t>en</w:t>
      </w:r>
      <w:proofErr w:type="spellEnd"/>
      <w:r w:rsidR="004B42B4" w:rsidRPr="005E6E22">
        <w:rPr>
          <w:rFonts w:asciiTheme="minorHAnsi" w:hAnsiTheme="minorHAnsi"/>
        </w:rPr>
        <w:t xml:space="preserve"> banc, the Fourth Circuit affirmed per curiam. </w:t>
      </w:r>
      <w:r w:rsidR="00B96FC8" w:rsidRPr="005E6E22">
        <w:rPr>
          <w:rFonts w:asciiTheme="minorHAnsi" w:hAnsiTheme="minorHAnsi"/>
        </w:rPr>
        <w:t xml:space="preserve">The Supreme Court granted certiorari on the question of whether law enforcement violated the Fourth Amendment in obtaining the petitioner’s location data. </w:t>
      </w:r>
    </w:p>
    <w:p w14:paraId="6F28A297" w14:textId="77777777" w:rsidR="00574D76" w:rsidRPr="005E6E22" w:rsidRDefault="00574D76" w:rsidP="005E6E22">
      <w:pPr>
        <w:spacing w:after="0" w:line="240" w:lineRule="auto"/>
        <w:rPr>
          <w:rFonts w:asciiTheme="minorHAnsi" w:hAnsiTheme="minorHAnsi"/>
        </w:rPr>
      </w:pPr>
    </w:p>
    <w:p w14:paraId="02BB5D44" w14:textId="59C3843C" w:rsidR="00BE336E" w:rsidRDefault="00BE336E" w:rsidP="005E6E22">
      <w:pPr>
        <w:spacing w:after="0" w:line="240" w:lineRule="auto"/>
        <w:rPr>
          <w:rFonts w:asciiTheme="minorHAnsi" w:hAnsiTheme="minorHAnsi"/>
        </w:rPr>
      </w:pPr>
      <w:r w:rsidRPr="005E6E22">
        <w:rPr>
          <w:rFonts w:asciiTheme="minorHAnsi" w:hAnsiTheme="minorHAnsi"/>
        </w:rPr>
        <w:t>The decision was 6-3, with Chief Justice Roberts, Justice Sotomayor, Justice Kavanaugh, and Justice Jackson joining Justice Kagan’s opinion and Justice Gorsuch concurring in the judgment. Justice Jackson wrote a concurrence that Justice Sotomayor joined. Justice Alito wrote the lead dissent, joined in part by Justices Thomas and Barrett, and Justice Barrett wrote an additional dissent.</w:t>
      </w:r>
    </w:p>
    <w:p w14:paraId="64484D20" w14:textId="77777777" w:rsidR="00574D76" w:rsidRPr="005E6E22" w:rsidRDefault="00574D76" w:rsidP="005E6E22">
      <w:pPr>
        <w:spacing w:after="0" w:line="240" w:lineRule="auto"/>
        <w:rPr>
          <w:rFonts w:asciiTheme="minorHAnsi" w:hAnsiTheme="minorHAnsi"/>
        </w:rPr>
      </w:pPr>
    </w:p>
    <w:p w14:paraId="68F5A72F" w14:textId="4349C40D" w:rsidR="00BE336E" w:rsidRDefault="00BE336E" w:rsidP="005E6E22">
      <w:pPr>
        <w:spacing w:after="0" w:line="240" w:lineRule="auto"/>
        <w:rPr>
          <w:rFonts w:asciiTheme="minorHAnsi" w:hAnsiTheme="minorHAnsi"/>
        </w:rPr>
      </w:pPr>
      <w:r w:rsidRPr="005E6E22">
        <w:rPr>
          <w:rFonts w:asciiTheme="minorHAnsi" w:hAnsiTheme="minorHAnsi"/>
        </w:rPr>
        <w:t xml:space="preserve">For the Supreme Court majority, the case was a </w:t>
      </w:r>
      <w:proofErr w:type="gramStart"/>
      <w:r w:rsidRPr="005E6E22">
        <w:rPr>
          <w:rFonts w:asciiTheme="minorHAnsi" w:hAnsiTheme="minorHAnsi"/>
        </w:rPr>
        <w:t>fairly straightforward</w:t>
      </w:r>
      <w:proofErr w:type="gramEnd"/>
      <w:r w:rsidRPr="005E6E22">
        <w:rPr>
          <w:rFonts w:asciiTheme="minorHAnsi" w:hAnsiTheme="minorHAnsi"/>
        </w:rPr>
        <w:t xml:space="preserve"> application of </w:t>
      </w:r>
      <w:r w:rsidRPr="005E6E22">
        <w:rPr>
          <w:rFonts w:asciiTheme="minorHAnsi" w:hAnsiTheme="minorHAnsi"/>
          <w:i/>
          <w:iCs/>
        </w:rPr>
        <w:t>Carpenter</w:t>
      </w:r>
      <w:r w:rsidR="00BF34F7" w:rsidRPr="005E6E22">
        <w:rPr>
          <w:rFonts w:asciiTheme="minorHAnsi" w:hAnsiTheme="minorHAnsi"/>
          <w:i/>
          <w:iCs/>
        </w:rPr>
        <w:t xml:space="preserve"> v. United States</w:t>
      </w:r>
      <w:r w:rsidR="00BF34F7" w:rsidRPr="005E6E22">
        <w:rPr>
          <w:rFonts w:asciiTheme="minorHAnsi" w:hAnsiTheme="minorHAnsi"/>
        </w:rPr>
        <w:t>, 585 U.S. 296 (2018)</w:t>
      </w:r>
      <w:r w:rsidR="00D76DD2" w:rsidRPr="005E6E22">
        <w:rPr>
          <w:rFonts w:asciiTheme="minorHAnsi" w:hAnsiTheme="minorHAnsi"/>
        </w:rPr>
        <w:t>, which held that</w:t>
      </w:r>
      <w:r w:rsidR="001D711A" w:rsidRPr="005E6E22">
        <w:rPr>
          <w:rFonts w:asciiTheme="minorHAnsi" w:hAnsiTheme="minorHAnsi"/>
        </w:rPr>
        <w:t xml:space="preserve"> the government conducts a search when it</w:t>
      </w:r>
      <w:r w:rsidR="00D76DD2" w:rsidRPr="005E6E22">
        <w:rPr>
          <w:rFonts w:asciiTheme="minorHAnsi" w:hAnsiTheme="minorHAnsi"/>
          <w:u w:val="single"/>
        </w:rPr>
        <w:t xml:space="preserve"> </w:t>
      </w:r>
      <w:r w:rsidR="00CC2819" w:rsidRPr="005E6E22">
        <w:rPr>
          <w:rFonts w:asciiTheme="minorHAnsi" w:hAnsiTheme="minorHAnsi"/>
        </w:rPr>
        <w:t>access</w:t>
      </w:r>
      <w:r w:rsidR="001D711A" w:rsidRPr="005E6E22">
        <w:rPr>
          <w:rFonts w:asciiTheme="minorHAnsi" w:hAnsiTheme="minorHAnsi"/>
        </w:rPr>
        <w:t xml:space="preserve">es </w:t>
      </w:r>
      <w:r w:rsidR="006B572C" w:rsidRPr="005E6E22">
        <w:rPr>
          <w:rFonts w:asciiTheme="minorHAnsi" w:hAnsiTheme="minorHAnsi"/>
        </w:rPr>
        <w:t>a week’s worth</w:t>
      </w:r>
      <w:r w:rsidR="001D711A" w:rsidRPr="005E6E22">
        <w:rPr>
          <w:rFonts w:asciiTheme="minorHAnsi" w:hAnsiTheme="minorHAnsi"/>
        </w:rPr>
        <w:t xml:space="preserve"> of</w:t>
      </w:r>
      <w:r w:rsidR="00CC2819" w:rsidRPr="005E6E22">
        <w:rPr>
          <w:rFonts w:asciiTheme="minorHAnsi" w:hAnsiTheme="minorHAnsi"/>
        </w:rPr>
        <w:t xml:space="preserve"> cell site location information </w:t>
      </w:r>
      <w:r w:rsidR="008979FD" w:rsidRPr="005E6E22">
        <w:rPr>
          <w:rFonts w:asciiTheme="minorHAnsi" w:hAnsiTheme="minorHAnsi"/>
        </w:rPr>
        <w:t xml:space="preserve">(CSLI) </w:t>
      </w:r>
      <w:r w:rsidR="00EB1DFA" w:rsidRPr="005E6E22">
        <w:rPr>
          <w:rFonts w:asciiTheme="minorHAnsi" w:hAnsiTheme="minorHAnsi"/>
        </w:rPr>
        <w:t>about a suspect from a cellular service provider.</w:t>
      </w:r>
      <w:r w:rsidR="00222362" w:rsidRPr="005E6E22">
        <w:rPr>
          <w:rFonts w:asciiTheme="minorHAnsi" w:hAnsiTheme="minorHAnsi"/>
        </w:rPr>
        <w:t xml:space="preserve"> </w:t>
      </w:r>
    </w:p>
    <w:p w14:paraId="24E17082" w14:textId="77777777" w:rsidR="00574D76" w:rsidRPr="005E6E22" w:rsidRDefault="00574D76" w:rsidP="005E6E22">
      <w:pPr>
        <w:spacing w:after="0" w:line="240" w:lineRule="auto"/>
        <w:rPr>
          <w:rFonts w:asciiTheme="minorHAnsi" w:hAnsiTheme="minorHAnsi"/>
        </w:rPr>
      </w:pPr>
    </w:p>
    <w:p w14:paraId="44E57BBE" w14:textId="77777777" w:rsidR="00BE336E" w:rsidRPr="005E6E22" w:rsidRDefault="00BE336E" w:rsidP="005E6E22">
      <w:pPr>
        <w:spacing w:after="0" w:line="240" w:lineRule="auto"/>
        <w:rPr>
          <w:rFonts w:asciiTheme="minorHAnsi" w:hAnsiTheme="minorHAnsi"/>
        </w:rPr>
      </w:pPr>
      <w:r w:rsidRPr="005E6E22">
        <w:rPr>
          <w:rFonts w:asciiTheme="minorHAnsi" w:hAnsiTheme="minorHAnsi"/>
        </w:rPr>
        <w:t>Specifically, the majority highlighted the fact that Location History is more precise than CSLI and is collected more frequently, making police access to the data more intrusive.</w:t>
      </w:r>
    </w:p>
    <w:p w14:paraId="32C8F593"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The Government sought to distinguish </w:t>
      </w:r>
      <w:r w:rsidRPr="005E6E22">
        <w:rPr>
          <w:rFonts w:asciiTheme="minorHAnsi" w:hAnsiTheme="minorHAnsi"/>
          <w:i/>
          <w:iCs/>
        </w:rPr>
        <w:t>Carpenter</w:t>
      </w:r>
      <w:r w:rsidRPr="005E6E22">
        <w:rPr>
          <w:rFonts w:asciiTheme="minorHAnsi" w:hAnsiTheme="minorHAnsi"/>
        </w:rPr>
        <w:t xml:space="preserve"> </w:t>
      </w:r>
      <w:proofErr w:type="gramStart"/>
      <w:r w:rsidRPr="005E6E22">
        <w:rPr>
          <w:rFonts w:asciiTheme="minorHAnsi" w:hAnsiTheme="minorHAnsi"/>
        </w:rPr>
        <w:t>on</w:t>
      </w:r>
      <w:proofErr w:type="gramEnd"/>
      <w:r w:rsidRPr="005E6E22">
        <w:rPr>
          <w:rFonts w:asciiTheme="minorHAnsi" w:hAnsiTheme="minorHAnsi"/>
        </w:rPr>
        <w:t xml:space="preserve"> two principal grounds. First, it noted that the data collected in </w:t>
      </w:r>
      <w:r w:rsidRPr="005E6E22">
        <w:rPr>
          <w:rFonts w:asciiTheme="minorHAnsi" w:hAnsiTheme="minorHAnsi"/>
          <w:i/>
          <w:iCs/>
        </w:rPr>
        <w:t>Carpenter</w:t>
      </w:r>
      <w:r w:rsidRPr="005E6E22">
        <w:rPr>
          <w:rFonts w:asciiTheme="minorHAnsi" w:hAnsiTheme="minorHAnsi"/>
        </w:rPr>
        <w:t xml:space="preserve"> covered a much longer </w:t>
      </w:r>
      <w:proofErr w:type="gramStart"/>
      <w:r w:rsidRPr="005E6E22">
        <w:rPr>
          <w:rFonts w:asciiTheme="minorHAnsi" w:hAnsiTheme="minorHAnsi"/>
        </w:rPr>
        <w:t>time period</w:t>
      </w:r>
      <w:proofErr w:type="gramEnd"/>
      <w:r w:rsidRPr="005E6E22">
        <w:rPr>
          <w:rFonts w:asciiTheme="minorHAnsi" w:hAnsiTheme="minorHAnsi"/>
        </w:rPr>
        <w:t xml:space="preserve"> than the two hours of data collected in </w:t>
      </w:r>
      <w:proofErr w:type="spellStart"/>
      <w:r w:rsidRPr="005E6E22">
        <w:rPr>
          <w:rFonts w:asciiTheme="minorHAnsi" w:hAnsiTheme="minorHAnsi"/>
          <w:i/>
          <w:iCs/>
        </w:rPr>
        <w:t>Chatrie</w:t>
      </w:r>
      <w:proofErr w:type="spellEnd"/>
      <w:r w:rsidRPr="005E6E22">
        <w:rPr>
          <w:rFonts w:asciiTheme="minorHAnsi" w:hAnsiTheme="minorHAnsi"/>
        </w:rPr>
        <w:t>. The majority responded that even two hours of data may reveal deeply private activities. More fundamentally, “[w]here the Fourth Amendment applies, it applies,” and the majority saw no precedent for applying it only when police conduct “goes too far.”</w:t>
      </w:r>
    </w:p>
    <w:p w14:paraId="36179A9E" w14:textId="77777777" w:rsidR="00574D76" w:rsidRPr="005E6E22" w:rsidRDefault="00574D76" w:rsidP="005E6E22">
      <w:pPr>
        <w:spacing w:after="0" w:line="240" w:lineRule="auto"/>
        <w:rPr>
          <w:rFonts w:asciiTheme="minorHAnsi" w:hAnsiTheme="minorHAnsi"/>
        </w:rPr>
      </w:pPr>
    </w:p>
    <w:p w14:paraId="6281E22A"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Second, the Government acknowledged that </w:t>
      </w:r>
      <w:r w:rsidRPr="005E6E22">
        <w:rPr>
          <w:rFonts w:asciiTheme="minorHAnsi" w:hAnsiTheme="minorHAnsi"/>
          <w:i/>
          <w:iCs/>
        </w:rPr>
        <w:t>Carpenter</w:t>
      </w:r>
      <w:r w:rsidRPr="005E6E22">
        <w:rPr>
          <w:rFonts w:asciiTheme="minorHAnsi" w:hAnsiTheme="minorHAnsi"/>
        </w:rPr>
        <w:t xml:space="preserve"> declined to apply the third-party doctrine to the CSLI at issue there but framed that decision </w:t>
      </w:r>
      <w:proofErr w:type="spellStart"/>
      <w:r w:rsidRPr="005E6E22">
        <w:rPr>
          <w:rFonts w:asciiTheme="minorHAnsi" w:hAnsiTheme="minorHAnsi"/>
        </w:rPr>
        <w:t>as</w:t>
      </w:r>
      <w:proofErr w:type="spellEnd"/>
      <w:r w:rsidRPr="005E6E22">
        <w:rPr>
          <w:rFonts w:asciiTheme="minorHAnsi" w:hAnsiTheme="minorHAnsi"/>
        </w:rPr>
        <w:t xml:space="preserve"> based on a lack of voluntariness: it is necessary to have a cell phone to participate in modern life, and it is necessary to convey CSLI to a provider to enable a phone to function. By contrast, the Government argued that sharing one’s location information with Google is not necessary. Most users choose not to share, and sharing requires an active opt-in, albeit one that Google vigorously promotes. Therefore, the Government contended, the third-party doctrine applies to Location History information and </w:t>
      </w:r>
      <w:proofErr w:type="spellStart"/>
      <w:r w:rsidRPr="005E6E22">
        <w:rPr>
          <w:rFonts w:asciiTheme="minorHAnsi" w:hAnsiTheme="minorHAnsi"/>
        </w:rPr>
        <w:t>Chatrie</w:t>
      </w:r>
      <w:proofErr w:type="spellEnd"/>
      <w:r w:rsidRPr="005E6E22">
        <w:rPr>
          <w:rFonts w:asciiTheme="minorHAnsi" w:hAnsiTheme="minorHAnsi"/>
        </w:rPr>
        <w:t xml:space="preserve"> had no reasonable expectation of privacy in such data.</w:t>
      </w:r>
    </w:p>
    <w:p w14:paraId="2D45FA5A" w14:textId="77777777" w:rsidR="00574D76" w:rsidRPr="005E6E22" w:rsidRDefault="00574D76" w:rsidP="005E6E22">
      <w:pPr>
        <w:spacing w:after="0" w:line="240" w:lineRule="auto"/>
        <w:rPr>
          <w:rFonts w:asciiTheme="minorHAnsi" w:hAnsiTheme="minorHAnsi"/>
        </w:rPr>
      </w:pPr>
    </w:p>
    <w:p w14:paraId="2BCE5653"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The majority disagreed. It noted that Google’s opt-in requests fail to describe in detail the amount of information that Location History collects and that the opt-ins may go so far as to say that the user’s phone will not “work correctly” without enabling the feature, seemingly rendering any consent less than voluntary. The majority also criticized the idea that the number of users who opt in is a valid indicator of voluntariness, because some countries prohibit Google from asking users to share and because any rule based on participation rates invites impossible line drawing: what if 50% opt in? What if 75% do? Ultimately, the majority concluded </w:t>
      </w:r>
      <w:proofErr w:type="gramStart"/>
      <w:r w:rsidRPr="005E6E22">
        <w:rPr>
          <w:rFonts w:asciiTheme="minorHAnsi" w:hAnsiTheme="minorHAnsi"/>
        </w:rPr>
        <w:t>that “[t]he</w:t>
      </w:r>
      <w:proofErr w:type="gramEnd"/>
      <w:r w:rsidRPr="005E6E22">
        <w:rPr>
          <w:rFonts w:asciiTheme="minorHAnsi" w:hAnsiTheme="minorHAnsi"/>
        </w:rPr>
        <w:t xml:space="preserve"> point of carrying smartphones is to use what is on </w:t>
      </w:r>
      <w:proofErr w:type="gramStart"/>
      <w:r w:rsidRPr="005E6E22">
        <w:rPr>
          <w:rFonts w:asciiTheme="minorHAnsi" w:hAnsiTheme="minorHAnsi"/>
        </w:rPr>
        <w:t>them,”</w:t>
      </w:r>
      <w:proofErr w:type="gramEnd"/>
      <w:r w:rsidRPr="005E6E22">
        <w:rPr>
          <w:rFonts w:asciiTheme="minorHAnsi" w:hAnsiTheme="minorHAnsi"/>
        </w:rPr>
        <w:t xml:space="preserve"> so accepting the terms of service of various apps cannot amount to foregoing constitutional protections.</w:t>
      </w:r>
    </w:p>
    <w:p w14:paraId="5A2008E6" w14:textId="77777777" w:rsidR="003F7CAC" w:rsidRPr="005E6E22" w:rsidRDefault="003F7CAC" w:rsidP="005E6E22">
      <w:pPr>
        <w:spacing w:after="0" w:line="240" w:lineRule="auto"/>
        <w:rPr>
          <w:rFonts w:asciiTheme="minorHAnsi" w:hAnsiTheme="minorHAnsi"/>
        </w:rPr>
      </w:pPr>
    </w:p>
    <w:p w14:paraId="25D28BAA"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Having determined that accessing a user’s location data is a search, the majority left for the lower courts the question of whether the search here </w:t>
      </w:r>
      <w:proofErr w:type="gramStart"/>
      <w:r w:rsidRPr="005E6E22">
        <w:rPr>
          <w:rFonts w:asciiTheme="minorHAnsi" w:hAnsiTheme="minorHAnsi"/>
        </w:rPr>
        <w:t>was a reasonable one</w:t>
      </w:r>
      <w:proofErr w:type="gramEnd"/>
      <w:r w:rsidRPr="005E6E22">
        <w:rPr>
          <w:rFonts w:asciiTheme="minorHAnsi" w:hAnsiTheme="minorHAnsi"/>
        </w:rPr>
        <w:t xml:space="preserve"> supported by a valid warrant. The parties dispute, among other things, whether the procedure used in the warrant </w:t>
      </w:r>
      <w:proofErr w:type="gramStart"/>
      <w:r w:rsidRPr="005E6E22">
        <w:rPr>
          <w:rFonts w:asciiTheme="minorHAnsi" w:hAnsiTheme="minorHAnsi"/>
        </w:rPr>
        <w:t>satisfied</w:t>
      </w:r>
      <w:proofErr w:type="gramEnd"/>
      <w:r w:rsidRPr="005E6E22">
        <w:rPr>
          <w:rFonts w:asciiTheme="minorHAnsi" w:hAnsiTheme="minorHAnsi"/>
        </w:rPr>
        <w:t xml:space="preserve"> the Fourth Amendment’s particularity requirement, and whether the warrant allowed the police to play too large a role in narrowing the scope of the information requested.</w:t>
      </w:r>
    </w:p>
    <w:p w14:paraId="63D9386B" w14:textId="77777777" w:rsidR="003F7CAC" w:rsidRPr="005E6E22" w:rsidRDefault="003F7CAC" w:rsidP="005E6E22">
      <w:pPr>
        <w:spacing w:after="0" w:line="240" w:lineRule="auto"/>
        <w:rPr>
          <w:rFonts w:asciiTheme="minorHAnsi" w:hAnsiTheme="minorHAnsi"/>
        </w:rPr>
      </w:pPr>
    </w:p>
    <w:p w14:paraId="1944C69C" w14:textId="77777777" w:rsidR="00BE336E" w:rsidRDefault="00BE336E" w:rsidP="005E6E22">
      <w:pPr>
        <w:spacing w:after="0" w:line="240" w:lineRule="auto"/>
        <w:rPr>
          <w:rFonts w:asciiTheme="minorHAnsi" w:hAnsiTheme="minorHAnsi"/>
        </w:rPr>
      </w:pPr>
      <w:r w:rsidRPr="005E6E22">
        <w:rPr>
          <w:rFonts w:asciiTheme="minorHAnsi" w:hAnsiTheme="minorHAnsi"/>
          <w:b/>
        </w:rPr>
        <w:t xml:space="preserve">The concurring opinions. </w:t>
      </w:r>
      <w:r w:rsidRPr="005E6E22">
        <w:rPr>
          <w:rFonts w:asciiTheme="minorHAnsi" w:hAnsiTheme="minorHAnsi"/>
        </w:rPr>
        <w:t>The issues described in the preceding paragraph were the focus of Justice Jackson’s brief concurrence. She would have concluded that “this search violated the Fourth Amendment” because the multi-step process used to provide progressively more detailed information about progressively fewer individuals was not supervised by a judicial official and left too much discretion in the hands of Google and the police.</w:t>
      </w:r>
    </w:p>
    <w:p w14:paraId="4F5B4D22" w14:textId="77777777" w:rsidR="003F7CAC" w:rsidRPr="005E6E22" w:rsidRDefault="003F7CAC" w:rsidP="005E6E22">
      <w:pPr>
        <w:spacing w:after="0" w:line="240" w:lineRule="auto"/>
        <w:rPr>
          <w:rFonts w:asciiTheme="minorHAnsi" w:hAnsiTheme="minorHAnsi"/>
        </w:rPr>
      </w:pPr>
    </w:p>
    <w:p w14:paraId="7E841DF1"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Justice Gorsuch concurred only in the judgment. He would not have relied on the reasonable expectation of privacy test adopted in </w:t>
      </w:r>
      <w:r w:rsidRPr="005E6E22">
        <w:rPr>
          <w:rFonts w:asciiTheme="minorHAnsi" w:hAnsiTheme="minorHAnsi"/>
          <w:i/>
          <w:iCs/>
        </w:rPr>
        <w:t>Katz v. United States</w:t>
      </w:r>
      <w:r w:rsidRPr="005E6E22">
        <w:rPr>
          <w:rFonts w:asciiTheme="minorHAnsi" w:hAnsiTheme="minorHAnsi"/>
        </w:rPr>
        <w:t>, 389 U.S. 347 (1967), which he views as hopelessly indeterminate and lacking any basis in the text of the Fourth Amendment. Rather, he would have held that a user’s location information is one of the “papers and effects” referenced in the Fourth Amendment. The information “amounted to an electronic diary or map of [Chatrie’s] travels,” even if held for him by Google, so when the police accessed it and reviewed it, they conducted a search.</w:t>
      </w:r>
    </w:p>
    <w:p w14:paraId="478B8041" w14:textId="77777777" w:rsidR="003F7CAC" w:rsidRPr="005E6E22" w:rsidRDefault="003F7CAC" w:rsidP="005E6E22">
      <w:pPr>
        <w:spacing w:after="0" w:line="240" w:lineRule="auto"/>
        <w:rPr>
          <w:rFonts w:asciiTheme="minorHAnsi" w:hAnsiTheme="minorHAnsi"/>
        </w:rPr>
      </w:pPr>
    </w:p>
    <w:p w14:paraId="2D7DAD80" w14:textId="77777777" w:rsidR="00BE336E" w:rsidRDefault="00BE336E" w:rsidP="005E6E22">
      <w:pPr>
        <w:spacing w:after="0" w:line="240" w:lineRule="auto"/>
        <w:rPr>
          <w:rFonts w:asciiTheme="minorHAnsi" w:hAnsiTheme="minorHAnsi"/>
        </w:rPr>
      </w:pPr>
      <w:r w:rsidRPr="005E6E22">
        <w:rPr>
          <w:rFonts w:asciiTheme="minorHAnsi" w:hAnsiTheme="minorHAnsi"/>
          <w:b/>
        </w:rPr>
        <w:t xml:space="preserve">The dissent. </w:t>
      </w:r>
      <w:r w:rsidRPr="005E6E22">
        <w:rPr>
          <w:rFonts w:asciiTheme="minorHAnsi" w:hAnsiTheme="minorHAnsi"/>
        </w:rPr>
        <w:t xml:space="preserve">Justice Alito began by observing that “not one iota of the majority opinion will affect the outcome of this case,” because the evidence in question was obtained under a search warrant, and under </w:t>
      </w:r>
      <w:r w:rsidRPr="005E6E22">
        <w:rPr>
          <w:rFonts w:asciiTheme="minorHAnsi" w:hAnsiTheme="minorHAnsi"/>
          <w:i/>
          <w:iCs/>
        </w:rPr>
        <w:t>United States v. Leon</w:t>
      </w:r>
      <w:r w:rsidRPr="005E6E22">
        <w:rPr>
          <w:rFonts w:asciiTheme="minorHAnsi" w:hAnsiTheme="minorHAnsi"/>
        </w:rPr>
        <w:t>, 468 U. S. 897 (1984), the exclusionary rule does not apply to evidence obtained in good faith under a search warrant even if the warrant is later determined to be deficient. For that reason, he viewed the case as an advisory opinion that the Court should never have issued.</w:t>
      </w:r>
    </w:p>
    <w:p w14:paraId="745D6A7C" w14:textId="77777777" w:rsidR="003F7CAC" w:rsidRPr="005E6E22" w:rsidRDefault="003F7CAC" w:rsidP="005E6E22">
      <w:pPr>
        <w:spacing w:after="0" w:line="240" w:lineRule="auto"/>
        <w:rPr>
          <w:rFonts w:asciiTheme="minorHAnsi" w:hAnsiTheme="minorHAnsi"/>
        </w:rPr>
      </w:pPr>
    </w:p>
    <w:p w14:paraId="4975C038" w14:textId="77777777" w:rsidR="00BE336E" w:rsidRDefault="00BE336E" w:rsidP="005E6E22">
      <w:pPr>
        <w:spacing w:after="0" w:line="240" w:lineRule="auto"/>
        <w:rPr>
          <w:rFonts w:asciiTheme="minorHAnsi" w:hAnsiTheme="minorHAnsi"/>
        </w:rPr>
      </w:pPr>
      <w:r w:rsidRPr="005E6E22">
        <w:rPr>
          <w:rFonts w:asciiTheme="minorHAnsi" w:hAnsiTheme="minorHAnsi"/>
        </w:rPr>
        <w:t xml:space="preserve">He further argued that the Court should not have granted review because “Google has modified its Location History service in a manner that forecloses future use of this geofence procedure.” Essentially, Google has stopped collecting users’ location history on its servers, and instead now leaves that information on users’ devices. Therefore, a search warrant for location information directed at Google will come up empty and the specific facts of </w:t>
      </w:r>
      <w:proofErr w:type="spellStart"/>
      <w:r w:rsidRPr="005E6E22">
        <w:rPr>
          <w:rFonts w:asciiTheme="minorHAnsi" w:hAnsiTheme="minorHAnsi"/>
          <w:i/>
          <w:iCs/>
        </w:rPr>
        <w:t>Chatrie</w:t>
      </w:r>
      <w:proofErr w:type="spellEnd"/>
      <w:r w:rsidRPr="005E6E22">
        <w:rPr>
          <w:rFonts w:asciiTheme="minorHAnsi" w:hAnsiTheme="minorHAnsi"/>
        </w:rPr>
        <w:t xml:space="preserve"> will not be repeated. In Justice Alito’s view, that makes this case a poor candidate for discretionary review.</w:t>
      </w:r>
    </w:p>
    <w:p w14:paraId="1025458D" w14:textId="77777777" w:rsidR="003F7CAC" w:rsidRPr="005E6E22" w:rsidRDefault="003F7CAC" w:rsidP="005E6E22">
      <w:pPr>
        <w:spacing w:after="0" w:line="240" w:lineRule="auto"/>
        <w:rPr>
          <w:rFonts w:asciiTheme="minorHAnsi" w:hAnsiTheme="minorHAnsi"/>
        </w:rPr>
      </w:pPr>
    </w:p>
    <w:p w14:paraId="455C1170" w14:textId="48FE32E6" w:rsidR="00BE336E" w:rsidRDefault="00BE336E" w:rsidP="005E6E22">
      <w:pPr>
        <w:spacing w:after="0" w:line="240" w:lineRule="auto"/>
        <w:rPr>
          <w:rFonts w:asciiTheme="minorHAnsi" w:hAnsiTheme="minorHAnsi"/>
        </w:rPr>
      </w:pPr>
      <w:r w:rsidRPr="005E6E22">
        <w:rPr>
          <w:rFonts w:asciiTheme="minorHAnsi" w:hAnsiTheme="minorHAnsi"/>
        </w:rPr>
        <w:t xml:space="preserve">Finally, Justice Alito turned to the merits of the Fourth Amendment question. First addressing the older, property-based understanding of the Fourth Amendment invoked by Justice Gorsuch, he reasoned that </w:t>
      </w:r>
      <w:proofErr w:type="spellStart"/>
      <w:r w:rsidRPr="005E6E22">
        <w:rPr>
          <w:rFonts w:asciiTheme="minorHAnsi" w:hAnsiTheme="minorHAnsi"/>
        </w:rPr>
        <w:t>Chatrie</w:t>
      </w:r>
      <w:proofErr w:type="spellEnd"/>
      <w:r w:rsidRPr="005E6E22">
        <w:rPr>
          <w:rFonts w:asciiTheme="minorHAnsi" w:hAnsiTheme="minorHAnsi"/>
        </w:rPr>
        <w:t xml:space="preserve"> had no property right in his physical location, so he could show no search of his “papers or effects.” Looking next at the </w:t>
      </w:r>
      <w:r w:rsidRPr="005E6E22">
        <w:rPr>
          <w:rFonts w:asciiTheme="minorHAnsi" w:hAnsiTheme="minorHAnsi"/>
          <w:i/>
          <w:iCs/>
        </w:rPr>
        <w:t>Katz</w:t>
      </w:r>
      <w:r w:rsidRPr="005E6E22">
        <w:rPr>
          <w:rFonts w:asciiTheme="minorHAnsi" w:hAnsiTheme="minorHAnsi"/>
          <w:u w:val="single"/>
        </w:rPr>
        <w:t xml:space="preserve"> </w:t>
      </w:r>
      <w:r w:rsidRPr="005E6E22">
        <w:rPr>
          <w:rFonts w:asciiTheme="minorHAnsi" w:hAnsiTheme="minorHAnsi"/>
        </w:rPr>
        <w:t xml:space="preserve">privacy-based understanding of the Fourth Amendment, he would have concluded that the third-party doctrine applies and defeats any expectation of privacy in the information at issue. He rejected the idea that this case is controlled by </w:t>
      </w:r>
      <w:r w:rsidRPr="005E6E22">
        <w:rPr>
          <w:rFonts w:asciiTheme="minorHAnsi" w:hAnsiTheme="minorHAnsi"/>
          <w:i/>
          <w:iCs/>
        </w:rPr>
        <w:t>Carpenter</w:t>
      </w:r>
      <w:r w:rsidRPr="005E6E22">
        <w:rPr>
          <w:rFonts w:asciiTheme="minorHAnsi" w:hAnsiTheme="minorHAnsi"/>
        </w:rPr>
        <w:t>, noting that the duration of information sought here was short; that the information centered on a credit union, a public place; and that the information was shared with Google via an affirmative opt-in process.</w:t>
      </w:r>
    </w:p>
    <w:p w14:paraId="2AC1574F" w14:textId="77777777" w:rsidR="003F7CAC" w:rsidRPr="005E6E22" w:rsidRDefault="003F7CAC" w:rsidP="005E6E22">
      <w:pPr>
        <w:spacing w:after="0" w:line="240" w:lineRule="auto"/>
        <w:rPr>
          <w:rFonts w:asciiTheme="minorHAnsi" w:hAnsiTheme="minorHAnsi"/>
        </w:rPr>
      </w:pPr>
    </w:p>
    <w:p w14:paraId="7815E182" w14:textId="4A543A6B" w:rsidR="00BE336E" w:rsidRPr="005E6E22" w:rsidRDefault="00BE336E" w:rsidP="005E6E22">
      <w:pPr>
        <w:spacing w:after="0" w:line="240" w:lineRule="auto"/>
        <w:rPr>
          <w:rFonts w:asciiTheme="minorHAnsi" w:hAnsiTheme="minorHAnsi"/>
        </w:rPr>
      </w:pPr>
      <w:r w:rsidRPr="005E6E22">
        <w:rPr>
          <w:rFonts w:asciiTheme="minorHAnsi" w:hAnsiTheme="minorHAnsi"/>
        </w:rPr>
        <w:t xml:space="preserve">Justice Barrett wrote separately to say that she was satisfied with the Court’s decision to review the case, but would have ruled, for the reasons given by Justice Alito, that </w:t>
      </w:r>
      <w:proofErr w:type="spellStart"/>
      <w:r w:rsidRPr="005E6E22">
        <w:rPr>
          <w:rFonts w:asciiTheme="minorHAnsi" w:hAnsiTheme="minorHAnsi"/>
        </w:rPr>
        <w:t>Chatrie</w:t>
      </w:r>
      <w:proofErr w:type="spellEnd"/>
      <w:r w:rsidRPr="005E6E22">
        <w:rPr>
          <w:rFonts w:asciiTheme="minorHAnsi" w:hAnsiTheme="minorHAnsi"/>
        </w:rPr>
        <w:t xml:space="preserve"> had no reasonable expectation of privacy in the location information obtained here.</w:t>
      </w:r>
    </w:p>
    <w:p w14:paraId="643A1C80" w14:textId="58BEB5C2" w:rsidR="00280F8B" w:rsidRPr="005E6E22" w:rsidRDefault="00280F8B" w:rsidP="005E6E22">
      <w:pPr>
        <w:pStyle w:val="Heading1"/>
        <w:spacing w:before="0" w:after="0" w:line="240" w:lineRule="auto"/>
        <w:rPr>
          <w:rFonts w:asciiTheme="minorHAnsi" w:hAnsiTheme="minorHAnsi"/>
          <w:sz w:val="28"/>
          <w:szCs w:val="28"/>
        </w:rPr>
      </w:pPr>
    </w:p>
    <w:p w14:paraId="6C3EDBDD" w14:textId="3F52C697" w:rsidR="0098001F" w:rsidRDefault="0098001F" w:rsidP="005E6E22">
      <w:pPr>
        <w:pStyle w:val="Heading1"/>
        <w:spacing w:before="0" w:after="0" w:line="240" w:lineRule="auto"/>
        <w:rPr>
          <w:rFonts w:asciiTheme="minorHAnsi" w:hAnsiTheme="minorHAnsi"/>
          <w:sz w:val="28"/>
          <w:szCs w:val="28"/>
        </w:rPr>
      </w:pPr>
      <w:bookmarkStart w:id="2" w:name="_Toc242024764"/>
      <w:r w:rsidRPr="005E6E22">
        <w:rPr>
          <w:rFonts w:asciiTheme="minorHAnsi" w:hAnsiTheme="minorHAnsi"/>
          <w:sz w:val="28"/>
          <w:szCs w:val="28"/>
        </w:rPr>
        <w:t>Criminal Procedure</w:t>
      </w:r>
      <w:bookmarkEnd w:id="2"/>
    </w:p>
    <w:p w14:paraId="4A55725E" w14:textId="77777777" w:rsidR="003F7CAC" w:rsidRPr="003F7CAC" w:rsidRDefault="003F7CAC" w:rsidP="003F7CAC"/>
    <w:p w14:paraId="263C830A" w14:textId="2B91C819" w:rsidR="0098001F" w:rsidRDefault="00617E36" w:rsidP="005E6E22">
      <w:pPr>
        <w:pStyle w:val="Heading2"/>
        <w:spacing w:before="0" w:after="0" w:line="240" w:lineRule="auto"/>
        <w:rPr>
          <w:rFonts w:asciiTheme="minorHAnsi" w:hAnsiTheme="minorHAnsi"/>
          <w:sz w:val="24"/>
          <w:szCs w:val="24"/>
        </w:rPr>
      </w:pPr>
      <w:bookmarkStart w:id="3" w:name="_Toc242024765"/>
      <w:r w:rsidRPr="005E6E22">
        <w:rPr>
          <w:rFonts w:asciiTheme="minorHAnsi" w:hAnsiTheme="minorHAnsi"/>
          <w:sz w:val="24"/>
          <w:szCs w:val="24"/>
        </w:rPr>
        <w:t>Indictment</w:t>
      </w:r>
      <w:bookmarkEnd w:id="3"/>
    </w:p>
    <w:p w14:paraId="72FB38FC" w14:textId="77777777" w:rsidR="003F7CAC" w:rsidRPr="003F7CAC" w:rsidRDefault="003F7CAC" w:rsidP="003F7CAC"/>
    <w:p w14:paraId="0CF8485D" w14:textId="210C1DDC" w:rsidR="003F7CAC" w:rsidRDefault="003F7CAC" w:rsidP="003F7CAC">
      <w:pPr>
        <w:spacing w:after="0" w:line="240" w:lineRule="auto"/>
        <w:rPr>
          <w:rFonts w:asciiTheme="minorHAnsi" w:hAnsiTheme="minorHAnsi"/>
          <w:b/>
        </w:rPr>
      </w:pPr>
      <w:r w:rsidRPr="003F7CAC">
        <w:rPr>
          <w:rFonts w:asciiTheme="minorHAnsi" w:hAnsiTheme="minorHAnsi"/>
          <w:b/>
        </w:rPr>
        <w:t xml:space="preserve">(1) </w:t>
      </w:r>
      <w:r w:rsidR="00CD1A31" w:rsidRPr="003F7CAC">
        <w:rPr>
          <w:rFonts w:asciiTheme="minorHAnsi" w:hAnsiTheme="minorHAnsi"/>
          <w:b/>
        </w:rPr>
        <w:t>A habitual felon indictment may be returned prior to the defendant’s commission of a principal felony. (2) There was insufficient evidence that the defendant maintained a vehicle for purposes of keeping drugs where the drugs were in a backpack and there was no indication that the defendant left them in the vehicle when not using the vehicle to transport them.</w:t>
      </w:r>
    </w:p>
    <w:p w14:paraId="4B62634F" w14:textId="77777777" w:rsidR="003F7CAC" w:rsidRPr="003F7CAC" w:rsidRDefault="003F7CAC" w:rsidP="003F7CAC">
      <w:pPr>
        <w:spacing w:after="0" w:line="240" w:lineRule="auto"/>
        <w:rPr>
          <w:rFonts w:asciiTheme="minorHAnsi" w:hAnsiTheme="minorHAnsi"/>
          <w:b/>
        </w:rPr>
      </w:pPr>
    </w:p>
    <w:p w14:paraId="5DE938A9" w14:textId="77777777" w:rsidR="00CD1A31" w:rsidRPr="005E6E22" w:rsidRDefault="00CD1A31" w:rsidP="005E6E22">
      <w:pPr>
        <w:spacing w:after="0" w:line="240" w:lineRule="auto"/>
        <w:rPr>
          <w:rFonts w:asciiTheme="minorHAnsi" w:hAnsiTheme="minorHAnsi"/>
        </w:rPr>
      </w:pPr>
      <w:hyperlink r:id="rId11" w:history="1">
        <w:r w:rsidRPr="005E6E22">
          <w:rPr>
            <w:rStyle w:val="Hyperlink"/>
            <w:rFonts w:asciiTheme="minorHAnsi" w:hAnsiTheme="minorHAnsi"/>
            <w:b/>
          </w:rPr>
          <w:t>State v. Garmon</w:t>
        </w:r>
      </w:hyperlink>
      <w:r w:rsidRPr="005E6E22">
        <w:rPr>
          <w:rFonts w:asciiTheme="minorHAnsi" w:hAnsiTheme="minorHAnsi"/>
        </w:rPr>
        <w:t>, No. 329A24 (N.C. Aug. 14, 2026) (Union Co.) (Riggs). Officers suspected the defendant of drug activity. In October 2020, they conducted a traffic stop and, through a K-9 sniff, developed probable cause to search his car. They found a backpack full of drugs and paraphernalia in the vehicle. In January 2021, a grand jury indicted the defendant for drug trafficking, maintaining a vehicle for keeping or selling drugs, and other offenses.</w:t>
      </w:r>
    </w:p>
    <w:p w14:paraId="572F951E" w14:textId="678D671B" w:rsidR="00CD1A31" w:rsidRDefault="00CD1A31" w:rsidP="005E6E22">
      <w:pPr>
        <w:spacing w:after="0" w:line="240" w:lineRule="auto"/>
        <w:rPr>
          <w:rFonts w:asciiTheme="minorHAnsi" w:hAnsiTheme="minorHAnsi"/>
        </w:rPr>
      </w:pPr>
      <w:r w:rsidRPr="005E6E22">
        <w:rPr>
          <w:rFonts w:asciiTheme="minorHAnsi" w:hAnsiTheme="minorHAnsi"/>
        </w:rPr>
        <w:t xml:space="preserve">Earlier, in January 2020, before the traffic stop, a grand jury indicted the defendant for being a habitual felon, presumably in connection with other charges from that </w:t>
      </w:r>
      <w:proofErr w:type="gramStart"/>
      <w:r w:rsidRPr="005E6E22">
        <w:rPr>
          <w:rFonts w:asciiTheme="minorHAnsi" w:hAnsiTheme="minorHAnsi"/>
        </w:rPr>
        <w:t>time period</w:t>
      </w:r>
      <w:proofErr w:type="gramEnd"/>
      <w:r w:rsidRPr="005E6E22">
        <w:rPr>
          <w:rFonts w:asciiTheme="minorHAnsi" w:hAnsiTheme="minorHAnsi"/>
        </w:rPr>
        <w:t>. (The opinions issued in this case by the Court of Appeals and the Supreme Court do not explain the context in which the habitual felon indictment arose, nor do they indicate the status or disposition of any prior charges.)</w:t>
      </w:r>
    </w:p>
    <w:p w14:paraId="4CF6680F" w14:textId="77777777" w:rsidR="003F7CAC" w:rsidRPr="005E6E22" w:rsidRDefault="003F7CAC" w:rsidP="005E6E22">
      <w:pPr>
        <w:spacing w:after="0" w:line="240" w:lineRule="auto"/>
        <w:rPr>
          <w:rFonts w:asciiTheme="minorHAnsi" w:hAnsiTheme="minorHAnsi"/>
        </w:rPr>
      </w:pPr>
    </w:p>
    <w:p w14:paraId="5778850D" w14:textId="77777777" w:rsidR="00CD1A31" w:rsidRDefault="00CD1A31" w:rsidP="005E6E22">
      <w:pPr>
        <w:spacing w:after="0" w:line="240" w:lineRule="auto"/>
        <w:rPr>
          <w:rFonts w:asciiTheme="minorHAnsi" w:hAnsiTheme="minorHAnsi"/>
        </w:rPr>
      </w:pPr>
      <w:r w:rsidRPr="005E6E22">
        <w:rPr>
          <w:rFonts w:asciiTheme="minorHAnsi" w:hAnsiTheme="minorHAnsi"/>
        </w:rPr>
        <w:t>In August 2022, the defendant went to trial on the charges arising from the traffic stop. The jury convicted him of drug trafficking and maintaining a vehicle. He then pleaded guilty to the earlier habitual felon indictment and was sentenced as a habitual felon.</w:t>
      </w:r>
    </w:p>
    <w:p w14:paraId="01659ECE" w14:textId="77777777" w:rsidR="00D074D5" w:rsidRPr="005E6E22" w:rsidRDefault="00D074D5" w:rsidP="005E6E22">
      <w:pPr>
        <w:spacing w:after="0" w:line="240" w:lineRule="auto"/>
        <w:rPr>
          <w:rFonts w:asciiTheme="minorHAnsi" w:hAnsiTheme="minorHAnsi"/>
        </w:rPr>
      </w:pPr>
    </w:p>
    <w:p w14:paraId="459525CE" w14:textId="77777777" w:rsidR="00CD1A31" w:rsidRPr="005E6E22" w:rsidRDefault="00CD1A31" w:rsidP="005E6E22">
      <w:pPr>
        <w:spacing w:after="0" w:line="240" w:lineRule="auto"/>
        <w:rPr>
          <w:rFonts w:asciiTheme="minorHAnsi" w:hAnsiTheme="minorHAnsi"/>
        </w:rPr>
      </w:pPr>
      <w:r w:rsidRPr="005E6E22">
        <w:rPr>
          <w:rFonts w:asciiTheme="minorHAnsi" w:hAnsiTheme="minorHAnsi"/>
        </w:rPr>
        <w:t xml:space="preserve">In the Court of Appeals, the defendant contended that there was insufficient evidence to support his conviction for maintaining a vehicle. He also filed an MAR arguing that the trial court lacked jurisdiction over the habitual felon indictment because it had been returned before he committed the drug offenses at issue and so could not be ancillary to them under </w:t>
      </w:r>
      <w:r w:rsidRPr="00D074D5">
        <w:rPr>
          <w:rFonts w:asciiTheme="minorHAnsi" w:hAnsiTheme="minorHAnsi"/>
          <w:i/>
          <w:iCs/>
        </w:rPr>
        <w:t>State v. Ross</w:t>
      </w:r>
      <w:r w:rsidRPr="005E6E22">
        <w:rPr>
          <w:rFonts w:asciiTheme="minorHAnsi" w:hAnsiTheme="minorHAnsi"/>
        </w:rPr>
        <w:t>, 221 N.C. App. 185 (2012). The court agreed with him on the habitual felon issue but, over a dissent, rejected his sufficiency argument.</w:t>
      </w:r>
    </w:p>
    <w:p w14:paraId="05D820C3" w14:textId="77777777" w:rsidR="00CD1A31" w:rsidRDefault="00CD1A31" w:rsidP="005E6E22">
      <w:pPr>
        <w:spacing w:after="0" w:line="240" w:lineRule="auto"/>
        <w:rPr>
          <w:rFonts w:asciiTheme="minorHAnsi" w:hAnsiTheme="minorHAnsi"/>
        </w:rPr>
      </w:pPr>
      <w:r w:rsidRPr="005E6E22">
        <w:rPr>
          <w:rFonts w:asciiTheme="minorHAnsi" w:hAnsiTheme="minorHAnsi"/>
        </w:rPr>
        <w:t xml:space="preserve">The Supreme Court granted review. As to the habitual felon indictment, the court unanimously overruled </w:t>
      </w:r>
      <w:r w:rsidRPr="00D074D5">
        <w:rPr>
          <w:rFonts w:asciiTheme="minorHAnsi" w:hAnsiTheme="minorHAnsi"/>
          <w:i/>
          <w:iCs/>
        </w:rPr>
        <w:t>Ross</w:t>
      </w:r>
      <w:r w:rsidRPr="005E6E22">
        <w:rPr>
          <w:rFonts w:asciiTheme="minorHAnsi" w:hAnsiTheme="minorHAnsi"/>
        </w:rPr>
        <w:t>, stating:</w:t>
      </w:r>
    </w:p>
    <w:p w14:paraId="70B4B5FE" w14:textId="77777777" w:rsidR="00D074D5" w:rsidRPr="005E6E22" w:rsidRDefault="00D074D5" w:rsidP="005E6E22">
      <w:pPr>
        <w:spacing w:after="0" w:line="240" w:lineRule="auto"/>
        <w:rPr>
          <w:rFonts w:asciiTheme="minorHAnsi" w:hAnsiTheme="minorHAnsi"/>
        </w:rPr>
      </w:pPr>
    </w:p>
    <w:p w14:paraId="4F6D92E9" w14:textId="77777777" w:rsidR="00CD1A31" w:rsidRPr="005E6E22" w:rsidRDefault="00CD1A31" w:rsidP="005E6E22">
      <w:pPr>
        <w:spacing w:after="0" w:line="240" w:lineRule="auto"/>
        <w:rPr>
          <w:rFonts w:asciiTheme="minorHAnsi" w:hAnsiTheme="minorHAnsi"/>
        </w:rPr>
      </w:pPr>
      <w:r w:rsidRPr="005E6E22">
        <w:rPr>
          <w:rFonts w:asciiTheme="minorHAnsi" w:hAnsiTheme="minorHAnsi"/>
        </w:rPr>
        <w:t>Nothing in the [habitual felon] statute requires specific timing for either the habitual felon indictment or the principal felony indictment. The two indictments must be separate, but the State need not wait for a principal felony indictment to file a habitual felon indictment. In fact, since all that is required to indict a defendant for attaining habitual felon status is his or her conviction for three separate felony offenses, the indictment could logically come at any time after the third felony conviction and is not dependent on when the fourth felony offense is charged. The plain language of the Habitual Felon Act does not prohibit the filing of a habitual felon indictment before a defendant is indicted for a principal felony.</w:t>
      </w:r>
    </w:p>
    <w:p w14:paraId="39A9C5B8" w14:textId="77777777" w:rsidR="00CD1A31" w:rsidRDefault="00CD1A31" w:rsidP="005E6E22">
      <w:pPr>
        <w:spacing w:after="0" w:line="240" w:lineRule="auto"/>
        <w:rPr>
          <w:rFonts w:asciiTheme="minorHAnsi" w:hAnsiTheme="minorHAnsi"/>
        </w:rPr>
      </w:pPr>
      <w:r w:rsidRPr="005E6E22">
        <w:rPr>
          <w:rFonts w:asciiTheme="minorHAnsi" w:hAnsiTheme="minorHAnsi"/>
        </w:rPr>
        <w:t>As to the sufficiency of the evidence regarding the charge of maintaining a vehicle, the court determined that there was insufficient evidence that the defendant maintained the vehicle for the purpose of keeping drugs. The drugs were in a backpack and there was no evidence that he left them in the vehicle except when he was using the vehicle to transport them. The court remanded to the Court of Appeals to consider whether there was sufficient evidence that the defendant maintained the vehicle for the purpose of selling drugs.</w:t>
      </w:r>
    </w:p>
    <w:p w14:paraId="0359D980" w14:textId="77777777" w:rsidR="00D074D5" w:rsidRPr="005E6E22" w:rsidRDefault="00D074D5" w:rsidP="005E6E22">
      <w:pPr>
        <w:spacing w:after="0" w:line="240" w:lineRule="auto"/>
        <w:rPr>
          <w:rFonts w:asciiTheme="minorHAnsi" w:hAnsiTheme="minorHAnsi"/>
        </w:rPr>
      </w:pPr>
    </w:p>
    <w:p w14:paraId="105A7612" w14:textId="4864111D" w:rsidR="00D074D5" w:rsidRDefault="00D074D5" w:rsidP="00D074D5">
      <w:pPr>
        <w:spacing w:after="0" w:line="240" w:lineRule="auto"/>
        <w:rPr>
          <w:rFonts w:asciiTheme="minorHAnsi" w:hAnsiTheme="minorHAnsi"/>
          <w:b/>
        </w:rPr>
      </w:pPr>
      <w:r w:rsidRPr="00D074D5">
        <w:rPr>
          <w:rFonts w:asciiTheme="minorHAnsi" w:hAnsiTheme="minorHAnsi"/>
          <w:b/>
        </w:rPr>
        <w:t xml:space="preserve">(1) </w:t>
      </w:r>
      <w:r w:rsidR="003F3EFB" w:rsidRPr="00D074D5">
        <w:rPr>
          <w:rFonts w:asciiTheme="minorHAnsi" w:hAnsiTheme="minorHAnsi"/>
          <w:b/>
        </w:rPr>
        <w:t>In a child sexual abuse trial, any improper vouching by expert witnesses did not rise to the level of plain error. (2) An indictment for statutory sexual offense with a child by an adult was sufficient because it alleged the elements of the offense, notwithstanding inaccuracies in the caption and the statutory citation.</w:t>
      </w:r>
    </w:p>
    <w:p w14:paraId="6284976D" w14:textId="77777777" w:rsidR="00D074D5" w:rsidRPr="00D074D5" w:rsidRDefault="00D074D5" w:rsidP="00D074D5">
      <w:pPr>
        <w:spacing w:after="0" w:line="240" w:lineRule="auto"/>
        <w:rPr>
          <w:rFonts w:asciiTheme="minorHAnsi" w:hAnsiTheme="minorHAnsi"/>
          <w:b/>
        </w:rPr>
      </w:pPr>
    </w:p>
    <w:p w14:paraId="0C2FAA96" w14:textId="77777777" w:rsidR="003F3EFB" w:rsidRDefault="003F3EFB" w:rsidP="005E6E22">
      <w:pPr>
        <w:spacing w:after="0" w:line="240" w:lineRule="auto"/>
        <w:rPr>
          <w:rFonts w:asciiTheme="minorHAnsi" w:hAnsiTheme="minorHAnsi"/>
        </w:rPr>
      </w:pPr>
      <w:hyperlink r:id="rId12" w:history="1">
        <w:r w:rsidRPr="005E6E22">
          <w:rPr>
            <w:rStyle w:val="Hyperlink"/>
            <w:rFonts w:asciiTheme="minorHAnsi" w:hAnsiTheme="minorHAnsi"/>
            <w:b/>
          </w:rPr>
          <w:t>State v. Wingate</w:t>
        </w:r>
      </w:hyperlink>
      <w:r w:rsidRPr="005E6E22">
        <w:rPr>
          <w:rFonts w:asciiTheme="minorHAnsi" w:hAnsiTheme="minorHAnsi"/>
        </w:rPr>
        <w:t>, No. 184A25 (N.C. Aug. 14, 2026) (Wake County) (Earls). The defendant sexually abused his twelve-year-old son, including by anal penetration. The child revealed some of the abuse to his mother, then reported more to a therapist.</w:t>
      </w:r>
    </w:p>
    <w:p w14:paraId="5109BDD5" w14:textId="77777777" w:rsidR="00D074D5" w:rsidRPr="005E6E22" w:rsidRDefault="00D074D5" w:rsidP="005E6E22">
      <w:pPr>
        <w:spacing w:after="0" w:line="240" w:lineRule="auto"/>
        <w:rPr>
          <w:rFonts w:asciiTheme="minorHAnsi" w:hAnsiTheme="minorHAnsi"/>
        </w:rPr>
      </w:pPr>
    </w:p>
    <w:p w14:paraId="1BAFF777" w14:textId="05CEE070" w:rsidR="003F3EFB" w:rsidRDefault="003F3EFB" w:rsidP="005E6E22">
      <w:pPr>
        <w:spacing w:after="0" w:line="240" w:lineRule="auto"/>
        <w:rPr>
          <w:rFonts w:asciiTheme="minorHAnsi" w:hAnsiTheme="minorHAnsi"/>
        </w:rPr>
      </w:pPr>
      <w:r w:rsidRPr="005E6E22">
        <w:rPr>
          <w:rFonts w:asciiTheme="minorHAnsi" w:hAnsiTheme="minorHAnsi"/>
        </w:rPr>
        <w:t xml:space="preserve">The defendant was indicted on several counts of taking indecent liberties with a child and one count captioned “first degree statutory sex offense.” The latter count cited </w:t>
      </w:r>
      <w:r w:rsidRPr="007705CF">
        <w:rPr>
          <w:rFonts w:asciiTheme="minorHAnsi" w:hAnsiTheme="minorHAnsi"/>
          <w:bCs w:val="0"/>
        </w:rPr>
        <w:t>G.S. 14-27.29</w:t>
      </w:r>
      <w:r w:rsidRPr="005E6E22">
        <w:rPr>
          <w:rFonts w:asciiTheme="minorHAnsi" w:hAnsiTheme="minorHAnsi"/>
        </w:rPr>
        <w:t xml:space="preserve">, which defines the crime of </w:t>
      </w:r>
      <w:proofErr w:type="gramStart"/>
      <w:r w:rsidRPr="005E6E22">
        <w:rPr>
          <w:rFonts w:asciiTheme="minorHAnsi" w:hAnsiTheme="minorHAnsi"/>
        </w:rPr>
        <w:t>first degree</w:t>
      </w:r>
      <w:proofErr w:type="gramEnd"/>
      <w:r w:rsidRPr="005E6E22">
        <w:rPr>
          <w:rFonts w:asciiTheme="minorHAnsi" w:hAnsiTheme="minorHAnsi"/>
        </w:rPr>
        <w:t xml:space="preserve"> statutory sex offense, but the indictment alleged the elements of the more serious crime of statutory sexual offense with a child by an adult, which is set forth in </w:t>
      </w:r>
      <w:r w:rsidRPr="007705CF">
        <w:rPr>
          <w:rFonts w:asciiTheme="minorHAnsi" w:hAnsiTheme="minorHAnsi"/>
          <w:bCs w:val="0"/>
        </w:rPr>
        <w:t>G.S. 14-27.28</w:t>
      </w:r>
      <w:r w:rsidRPr="005E6E22">
        <w:rPr>
          <w:rFonts w:asciiTheme="minorHAnsi" w:hAnsiTheme="minorHAnsi"/>
        </w:rPr>
        <w:t>. The jury was instructed on the elements of the more serious offense, but the verdict sheet described the offense as “first degree statutory sex offense.” The jury convicted the defendant of four counts of indecent liberties and the sex offense. The trial judge sentenced the defendant to the statutory minimum of 300 months that is required for the crime of statutory sexual offense with a child by an adult, with additional time for the indecent liberties convictions.</w:t>
      </w:r>
    </w:p>
    <w:p w14:paraId="7796800B" w14:textId="77777777" w:rsidR="00D074D5" w:rsidRPr="005E6E22" w:rsidRDefault="00D074D5" w:rsidP="005E6E22">
      <w:pPr>
        <w:spacing w:after="0" w:line="240" w:lineRule="auto"/>
        <w:rPr>
          <w:rFonts w:asciiTheme="minorHAnsi" w:hAnsiTheme="minorHAnsi"/>
        </w:rPr>
      </w:pPr>
    </w:p>
    <w:p w14:paraId="48B541D5" w14:textId="357D272F" w:rsidR="003F3EFB" w:rsidRPr="005E6E22" w:rsidRDefault="003F3EFB" w:rsidP="005E6E22">
      <w:pPr>
        <w:spacing w:after="0" w:line="240" w:lineRule="auto"/>
        <w:rPr>
          <w:rFonts w:asciiTheme="minorHAnsi" w:hAnsiTheme="minorHAnsi"/>
        </w:rPr>
      </w:pPr>
      <w:r w:rsidRPr="005E6E22">
        <w:rPr>
          <w:rFonts w:asciiTheme="minorHAnsi" w:hAnsiTheme="minorHAnsi"/>
        </w:rPr>
        <w:t xml:space="preserve">The Court of Appeals reversed, concluding (1) that two of the State’s witnesses – a clinical therapist and a pediatrician – improperly vouched for the son’s credibility, and (2) that the sex offense indictment failed to provide the defendant with sufficient notice because it was unclear which offense it sought to charge. </w:t>
      </w:r>
    </w:p>
    <w:p w14:paraId="6CAB6BA8" w14:textId="77777777" w:rsidR="003F3EFB" w:rsidRDefault="003F3EFB" w:rsidP="005E6E22">
      <w:pPr>
        <w:spacing w:after="0" w:line="240" w:lineRule="auto"/>
        <w:rPr>
          <w:rFonts w:asciiTheme="minorHAnsi" w:hAnsiTheme="minorHAnsi"/>
        </w:rPr>
      </w:pPr>
      <w:r w:rsidRPr="005E6E22">
        <w:rPr>
          <w:rFonts w:asciiTheme="minorHAnsi" w:hAnsiTheme="minorHAnsi"/>
        </w:rPr>
        <w:t>The Supreme Court unanimously reversed the Court of Appeals. As to the vouching, the court declined to determine whether it was proper or improper. Instead, it ruled that the admission of the testimony did not rise to the level of plain error because the defendant could not show that absent that testimony, the result of the trial probably would have been different. The son’s testimony alone was enough to convict, and two other experts provided unquestionably admissible testimony that tended to support and amplify the son’s testimony.</w:t>
      </w:r>
    </w:p>
    <w:p w14:paraId="61704B46" w14:textId="77777777" w:rsidR="00224B15" w:rsidRPr="005E6E22" w:rsidRDefault="00224B15" w:rsidP="005E6E22">
      <w:pPr>
        <w:spacing w:after="0" w:line="240" w:lineRule="auto"/>
        <w:rPr>
          <w:rFonts w:asciiTheme="minorHAnsi" w:hAnsiTheme="minorHAnsi"/>
        </w:rPr>
      </w:pPr>
    </w:p>
    <w:p w14:paraId="074DFFB9" w14:textId="77777777" w:rsidR="003F3EFB" w:rsidRDefault="003F3EFB" w:rsidP="005E6E22">
      <w:pPr>
        <w:spacing w:after="0" w:line="240" w:lineRule="auto"/>
        <w:rPr>
          <w:rFonts w:asciiTheme="minorHAnsi" w:hAnsiTheme="minorHAnsi"/>
        </w:rPr>
      </w:pPr>
      <w:r w:rsidRPr="005E6E22">
        <w:rPr>
          <w:rFonts w:asciiTheme="minorHAnsi" w:hAnsiTheme="minorHAnsi"/>
        </w:rPr>
        <w:t xml:space="preserve">As to the indictment, the court acknowledged that the caption of the indictment and the statutory citation were not consistent with the factual allegations it contained. But it concluded that the factual allegations provided sufficient notice: “[T]he factual assertion in the indictment that [the defendant] was over eighteen years old showed from the beginning the State’s intention to charge him with statutory sexual offense with a child by an adult. Taking the indictment </w:t>
      </w:r>
      <w:proofErr w:type="gramStart"/>
      <w:r w:rsidRPr="005E6E22">
        <w:rPr>
          <w:rFonts w:asciiTheme="minorHAnsi" w:hAnsiTheme="minorHAnsi"/>
        </w:rPr>
        <w:t>as a whole renders</w:t>
      </w:r>
      <w:proofErr w:type="gramEnd"/>
      <w:r w:rsidRPr="005E6E22">
        <w:rPr>
          <w:rFonts w:asciiTheme="minorHAnsi" w:hAnsiTheme="minorHAnsi"/>
        </w:rPr>
        <w:t xml:space="preserve"> the incorrect statutory reference akin to a scrivener’s error.” Similarly, “the incorrect statutory references that occurred intermittently throughout the proceedings were harmless instances of </w:t>
      </w:r>
      <w:r w:rsidRPr="005E6E22">
        <w:rPr>
          <w:rFonts w:asciiTheme="minorHAnsi" w:hAnsiTheme="minorHAnsi"/>
          <w:i/>
          <w:iCs/>
        </w:rPr>
        <w:t>lapsus linguae</w:t>
      </w:r>
      <w:r w:rsidRPr="005E6E22">
        <w:rPr>
          <w:rFonts w:asciiTheme="minorHAnsi" w:hAnsiTheme="minorHAnsi"/>
        </w:rPr>
        <w:t>.”</w:t>
      </w:r>
    </w:p>
    <w:p w14:paraId="4C5B094F" w14:textId="77777777" w:rsidR="00224B15" w:rsidRPr="005E6E22" w:rsidRDefault="00224B15" w:rsidP="005E6E22">
      <w:pPr>
        <w:spacing w:after="0" w:line="240" w:lineRule="auto"/>
        <w:rPr>
          <w:rFonts w:asciiTheme="minorHAnsi" w:hAnsiTheme="minorHAnsi"/>
        </w:rPr>
      </w:pPr>
    </w:p>
    <w:p w14:paraId="2DC14725" w14:textId="34D02400" w:rsidR="00D2760E" w:rsidRDefault="00D2760E" w:rsidP="005E6E22">
      <w:pPr>
        <w:pStyle w:val="Heading2"/>
        <w:spacing w:before="0" w:after="0" w:line="240" w:lineRule="auto"/>
        <w:rPr>
          <w:rFonts w:asciiTheme="minorHAnsi" w:hAnsiTheme="minorHAnsi"/>
          <w:sz w:val="24"/>
          <w:szCs w:val="24"/>
        </w:rPr>
      </w:pPr>
      <w:bookmarkStart w:id="4" w:name="_Toc242024766"/>
      <w:r w:rsidRPr="005E6E22">
        <w:rPr>
          <w:rFonts w:asciiTheme="minorHAnsi" w:hAnsiTheme="minorHAnsi"/>
          <w:sz w:val="24"/>
          <w:szCs w:val="24"/>
        </w:rPr>
        <w:t>Dismissal of Charges</w:t>
      </w:r>
      <w:bookmarkEnd w:id="4"/>
    </w:p>
    <w:p w14:paraId="60633E9A" w14:textId="77777777" w:rsidR="00201575" w:rsidRPr="00201575" w:rsidRDefault="00201575" w:rsidP="00201575"/>
    <w:p w14:paraId="18350E0B" w14:textId="77777777" w:rsidR="00D2760E" w:rsidRDefault="00D2760E" w:rsidP="005E6E22">
      <w:pPr>
        <w:spacing w:after="0" w:line="240" w:lineRule="auto"/>
        <w:rPr>
          <w:rFonts w:asciiTheme="minorHAnsi" w:hAnsiTheme="minorHAnsi"/>
          <w:b/>
        </w:rPr>
      </w:pPr>
      <w:r w:rsidRPr="005E6E22">
        <w:rPr>
          <w:rFonts w:asciiTheme="minorHAnsi" w:hAnsiTheme="minorHAnsi"/>
          <w:b/>
        </w:rPr>
        <w:t xml:space="preserve">Prosecutor lacked authority to dismiss offense after jury returned verdict of guilty and charge resulted in conviction; flight instruction </w:t>
      </w:r>
      <w:proofErr w:type="gramStart"/>
      <w:r w:rsidRPr="005E6E22">
        <w:rPr>
          <w:rFonts w:asciiTheme="minorHAnsi" w:hAnsiTheme="minorHAnsi"/>
          <w:b/>
        </w:rPr>
        <w:t>justified</w:t>
      </w:r>
      <w:proofErr w:type="gramEnd"/>
      <w:r w:rsidRPr="005E6E22">
        <w:rPr>
          <w:rFonts w:asciiTheme="minorHAnsi" w:hAnsiTheme="minorHAnsi"/>
          <w:b/>
        </w:rPr>
        <w:t>.</w:t>
      </w:r>
    </w:p>
    <w:p w14:paraId="029326A0" w14:textId="77777777" w:rsidR="00201575" w:rsidRPr="005E6E22" w:rsidRDefault="00201575" w:rsidP="005E6E22">
      <w:pPr>
        <w:spacing w:after="0" w:line="240" w:lineRule="auto"/>
        <w:rPr>
          <w:rFonts w:asciiTheme="minorHAnsi" w:hAnsiTheme="minorHAnsi"/>
        </w:rPr>
      </w:pPr>
    </w:p>
    <w:p w14:paraId="466879D0" w14:textId="77777777" w:rsidR="00D2760E" w:rsidRDefault="00D2760E" w:rsidP="005E6E22">
      <w:pPr>
        <w:spacing w:after="0" w:line="240" w:lineRule="auto"/>
        <w:rPr>
          <w:rFonts w:asciiTheme="minorHAnsi" w:hAnsiTheme="minorHAnsi"/>
        </w:rPr>
      </w:pPr>
      <w:hyperlink r:id="rId13" w:history="1">
        <w:r w:rsidRPr="005E6E22">
          <w:rPr>
            <w:rStyle w:val="Hyperlink"/>
            <w:rFonts w:asciiTheme="minorHAnsi" w:hAnsiTheme="minorHAnsi"/>
            <w:b/>
          </w:rPr>
          <w:t>State v. Lofton</w:t>
        </w:r>
      </w:hyperlink>
      <w:r w:rsidRPr="005E6E22">
        <w:rPr>
          <w:rFonts w:asciiTheme="minorHAnsi" w:hAnsiTheme="minorHAnsi"/>
        </w:rPr>
        <w:t xml:space="preserve">, COA25-58 (N.C. Ct. App. Aug. 5, 2026) (Cumberland County) (Stading). The defendant was tried on an indictment charging him with first-degree burglary, second-degree kidnapping, assault with a deadly weapon with intent to kill, assault inflicting physical injury by strangulation, and assault on a female. The defendant was also indicted as a habitual felon. The charges arose from an incident in which the defendant and the victim, who had been dating for four months, got in an argument while driving back from a trip to Myrtle Beach with the victim’s two children. The defendant told the victim to let him out of the car because he had people who could pick him up, and the victim obliged to </w:t>
      </w:r>
      <w:proofErr w:type="gramStart"/>
      <w:r w:rsidRPr="005E6E22">
        <w:rPr>
          <w:rFonts w:asciiTheme="minorHAnsi" w:hAnsiTheme="minorHAnsi"/>
        </w:rPr>
        <w:t>deescalate</w:t>
      </w:r>
      <w:proofErr w:type="gramEnd"/>
      <w:r w:rsidRPr="005E6E22">
        <w:rPr>
          <w:rFonts w:asciiTheme="minorHAnsi" w:hAnsiTheme="minorHAnsi"/>
        </w:rPr>
        <w:t xml:space="preserve"> the situation. However, the defendant eventually came to her house later that night after she attempted to go to sleep. He banged forcefully on her window, kicked open her front door, and attacked her in her bedroom. She escaped outside and ran toward a patrol car, pointing out the defendant to a police officer. The officer saw the defendant run away in dark clothing. The officer followed the defendant to a fence line but could not locate him. He subsequently returned to his patrol car and drove to a nearby shopping center where he found the defendant wearing a white tank top. The defendant gave officers a false name prior to being arrested.</w:t>
      </w:r>
    </w:p>
    <w:p w14:paraId="3E749B8B" w14:textId="77777777" w:rsidR="001A79D1" w:rsidRPr="005E6E22" w:rsidRDefault="001A79D1" w:rsidP="005E6E22">
      <w:pPr>
        <w:spacing w:after="0" w:line="240" w:lineRule="auto"/>
        <w:rPr>
          <w:rFonts w:asciiTheme="minorHAnsi" w:hAnsiTheme="minorHAnsi"/>
        </w:rPr>
      </w:pPr>
    </w:p>
    <w:p w14:paraId="3115F4C8" w14:textId="77777777" w:rsidR="00D2760E" w:rsidRDefault="00D2760E" w:rsidP="005E6E22">
      <w:pPr>
        <w:spacing w:after="0" w:line="240" w:lineRule="auto"/>
        <w:rPr>
          <w:rFonts w:asciiTheme="minorHAnsi" w:hAnsiTheme="minorHAnsi"/>
        </w:rPr>
      </w:pPr>
      <w:r w:rsidRPr="005E6E22">
        <w:rPr>
          <w:rFonts w:asciiTheme="minorHAnsi" w:hAnsiTheme="minorHAnsi"/>
        </w:rPr>
        <w:t xml:space="preserve">At trial, the defendant left during jury selection and did not return. The jury found the defendant guilty of second-degree kidnapping and assault on a female, acquitting him of the remaining three offenses. Subsequently, the state indicated that it would not be proceeding </w:t>
      </w:r>
      <w:proofErr w:type="gramStart"/>
      <w:r w:rsidRPr="005E6E22">
        <w:rPr>
          <w:rFonts w:asciiTheme="minorHAnsi" w:hAnsiTheme="minorHAnsi"/>
        </w:rPr>
        <w:t>on</w:t>
      </w:r>
      <w:proofErr w:type="gramEnd"/>
      <w:r w:rsidRPr="005E6E22">
        <w:rPr>
          <w:rFonts w:asciiTheme="minorHAnsi" w:hAnsiTheme="minorHAnsi"/>
        </w:rPr>
        <w:t xml:space="preserve"> the habitual felon indictment. The state filed a voluntary dismissal form listing the habitual felon offense but also including the misdemeanor of assault on female as an additional offense to dismiss. It was unclear whether the inclusion of the assault on female offense was a mistake. When the defendant turned himself around six weeks later, the court imposed consecutive sentences for the second-degree kidnapping conviction and the assault on a female conviction.</w:t>
      </w:r>
    </w:p>
    <w:p w14:paraId="3A6046D7" w14:textId="77777777" w:rsidR="001A79D1" w:rsidRPr="005E6E22" w:rsidRDefault="001A79D1" w:rsidP="005E6E22">
      <w:pPr>
        <w:spacing w:after="0" w:line="240" w:lineRule="auto"/>
        <w:rPr>
          <w:rFonts w:asciiTheme="minorHAnsi" w:hAnsiTheme="minorHAnsi"/>
        </w:rPr>
      </w:pPr>
    </w:p>
    <w:p w14:paraId="325C7CCA" w14:textId="77777777" w:rsidR="00D2760E" w:rsidRDefault="00D2760E" w:rsidP="005E6E22">
      <w:pPr>
        <w:spacing w:after="0" w:line="240" w:lineRule="auto"/>
        <w:rPr>
          <w:rFonts w:asciiTheme="minorHAnsi" w:hAnsiTheme="minorHAnsi"/>
        </w:rPr>
      </w:pPr>
      <w:r w:rsidRPr="005E6E22">
        <w:rPr>
          <w:rFonts w:asciiTheme="minorHAnsi" w:hAnsiTheme="minorHAnsi"/>
        </w:rPr>
        <w:t xml:space="preserve">On appeal, the defendant first contended that the trial court lacked jurisdiction to sentence him for assault on a female because the offense had been dismissed after conviction but before sentencing. The appellate court held that the state lacked authority to dismiss the offense once the defendant is convicted. Under G.S. 15A-931(a), the prosecutor may enter a dismissal of a </w:t>
      </w:r>
      <w:r w:rsidRPr="005E6E22">
        <w:rPr>
          <w:rFonts w:asciiTheme="minorHAnsi" w:hAnsiTheme="minorHAnsi"/>
          <w:i/>
          <w:iCs/>
        </w:rPr>
        <w:t xml:space="preserve">charge </w:t>
      </w:r>
      <w:r w:rsidRPr="005E6E22">
        <w:rPr>
          <w:rFonts w:asciiTheme="minorHAnsi" w:hAnsiTheme="minorHAnsi"/>
        </w:rPr>
        <w:t>“in open court before or during the trial, or by filing a written dismissal with the clerk at any time.” The court noted that “at any time” was “on its face broad,” but interpreted the phrase in context to be referring to any time up until the end of trial. Further, the court stressed that a “charge,” being a formal accusation and preliminary step to prosecute, is different from a “conviction,” which is the act of finding someone guilty or the state of having been proved guilty. The court further noted that if the state could dismiss a matter at any time after conviction, this would produce absurd results. In sum, the court held that the state was without authority to dismiss the assault on female offense after the jury returned a verdict finding the defendant guilty, even though he not been sentenced yet. Thus, the court did not err in sentencing the defendant for assault on a female once he turned himself in.</w:t>
      </w:r>
    </w:p>
    <w:p w14:paraId="4AE8C04A" w14:textId="77777777" w:rsidR="001A79D1" w:rsidRPr="005E6E22" w:rsidRDefault="001A79D1" w:rsidP="005E6E22">
      <w:pPr>
        <w:spacing w:after="0" w:line="240" w:lineRule="auto"/>
        <w:rPr>
          <w:rFonts w:asciiTheme="minorHAnsi" w:hAnsiTheme="minorHAnsi"/>
        </w:rPr>
      </w:pPr>
    </w:p>
    <w:p w14:paraId="212C2CF3" w14:textId="77777777" w:rsidR="00D2760E" w:rsidRDefault="00D2760E" w:rsidP="005E6E22">
      <w:pPr>
        <w:spacing w:after="0" w:line="240" w:lineRule="auto"/>
        <w:rPr>
          <w:rFonts w:asciiTheme="minorHAnsi" w:hAnsiTheme="minorHAnsi"/>
        </w:rPr>
      </w:pPr>
      <w:r w:rsidRPr="005E6E22">
        <w:rPr>
          <w:rFonts w:asciiTheme="minorHAnsi" w:hAnsiTheme="minorHAnsi"/>
        </w:rPr>
        <w:t>The defendant also challenged the trial court’s instruction on the flight doctrine. However, the appellate court found sufficient evidence to support the instruction given the officer’s observation of the defendant running away and the defendant’s being found in a shopping center some 150 to 200 yards after having apparently changed clothing.</w:t>
      </w:r>
    </w:p>
    <w:p w14:paraId="66C89D13" w14:textId="77777777" w:rsidR="001A79D1" w:rsidRPr="005E6E22" w:rsidRDefault="001A79D1" w:rsidP="005E6E22">
      <w:pPr>
        <w:spacing w:after="0" w:line="240" w:lineRule="auto"/>
        <w:rPr>
          <w:rFonts w:asciiTheme="minorHAnsi" w:hAnsiTheme="minorHAnsi"/>
        </w:rPr>
      </w:pPr>
    </w:p>
    <w:p w14:paraId="36C51868" w14:textId="77777777" w:rsidR="00D2760E" w:rsidRDefault="00D2760E" w:rsidP="005E6E22">
      <w:pPr>
        <w:spacing w:after="0" w:line="240" w:lineRule="auto"/>
        <w:rPr>
          <w:rFonts w:asciiTheme="minorHAnsi" w:hAnsiTheme="minorHAnsi"/>
        </w:rPr>
      </w:pPr>
      <w:r w:rsidRPr="005E6E22">
        <w:rPr>
          <w:rFonts w:asciiTheme="minorHAnsi" w:hAnsiTheme="minorHAnsi"/>
        </w:rPr>
        <w:t>The court thus found no error.</w:t>
      </w:r>
    </w:p>
    <w:p w14:paraId="3B63E3C4" w14:textId="77777777" w:rsidR="001A79D1" w:rsidRPr="005E6E22" w:rsidRDefault="001A79D1" w:rsidP="005E6E22">
      <w:pPr>
        <w:spacing w:after="0" w:line="240" w:lineRule="auto"/>
        <w:rPr>
          <w:rFonts w:asciiTheme="minorHAnsi" w:hAnsiTheme="minorHAnsi"/>
        </w:rPr>
      </w:pPr>
    </w:p>
    <w:p w14:paraId="0C882385" w14:textId="0797C762" w:rsidR="005F5151" w:rsidRDefault="00F36B12" w:rsidP="005E6E22">
      <w:pPr>
        <w:pStyle w:val="Heading1"/>
        <w:spacing w:before="0" w:after="0" w:line="240" w:lineRule="auto"/>
        <w:rPr>
          <w:rFonts w:asciiTheme="minorHAnsi" w:hAnsiTheme="minorHAnsi"/>
          <w:sz w:val="28"/>
          <w:szCs w:val="28"/>
        </w:rPr>
      </w:pPr>
      <w:bookmarkStart w:id="5" w:name="_Toc242024767"/>
      <w:r w:rsidRPr="005E6E22">
        <w:rPr>
          <w:rFonts w:asciiTheme="minorHAnsi" w:hAnsiTheme="minorHAnsi"/>
          <w:sz w:val="28"/>
          <w:szCs w:val="28"/>
        </w:rPr>
        <w:t>Crimes</w:t>
      </w:r>
      <w:bookmarkEnd w:id="5"/>
    </w:p>
    <w:p w14:paraId="6CBB2371" w14:textId="77777777" w:rsidR="001A79D1" w:rsidRPr="001A79D1" w:rsidRDefault="001A79D1" w:rsidP="001A79D1"/>
    <w:p w14:paraId="628A5D45" w14:textId="659600C3" w:rsidR="00336530" w:rsidRDefault="00336530" w:rsidP="005E6E22">
      <w:pPr>
        <w:pStyle w:val="Heading2"/>
        <w:spacing w:before="0" w:after="0" w:line="240" w:lineRule="auto"/>
        <w:rPr>
          <w:rFonts w:asciiTheme="minorHAnsi" w:hAnsiTheme="minorHAnsi"/>
          <w:sz w:val="24"/>
          <w:szCs w:val="24"/>
        </w:rPr>
      </w:pPr>
      <w:bookmarkStart w:id="6" w:name="_Toc242024768"/>
      <w:r w:rsidRPr="005E6E22">
        <w:rPr>
          <w:rFonts w:asciiTheme="minorHAnsi" w:hAnsiTheme="minorHAnsi"/>
          <w:sz w:val="24"/>
          <w:szCs w:val="24"/>
        </w:rPr>
        <w:t>Firearms Offenses</w:t>
      </w:r>
      <w:bookmarkEnd w:id="6"/>
    </w:p>
    <w:p w14:paraId="07FFC25A" w14:textId="77777777" w:rsidR="001A79D1" w:rsidRPr="001A79D1" w:rsidRDefault="001A79D1" w:rsidP="001A79D1"/>
    <w:p w14:paraId="49CFC718" w14:textId="3AC41400" w:rsidR="00087390" w:rsidRPr="001A79D1" w:rsidRDefault="001A79D1" w:rsidP="001A79D1">
      <w:pPr>
        <w:spacing w:after="0" w:line="240" w:lineRule="auto"/>
        <w:rPr>
          <w:rFonts w:asciiTheme="minorHAnsi" w:hAnsiTheme="minorHAnsi"/>
          <w:b/>
        </w:rPr>
      </w:pPr>
      <w:r w:rsidRPr="001A79D1">
        <w:rPr>
          <w:rFonts w:asciiTheme="minorHAnsi" w:hAnsiTheme="minorHAnsi"/>
          <w:b/>
        </w:rPr>
        <w:t xml:space="preserve">(1) </w:t>
      </w:r>
      <w:r w:rsidR="00087390" w:rsidRPr="001A79D1">
        <w:rPr>
          <w:rFonts w:asciiTheme="minorHAnsi" w:hAnsiTheme="minorHAnsi"/>
          <w:b/>
        </w:rPr>
        <w:t>Possession of multiple concealed firearms on a single occasion is a single offense. (2) The trial court erred by imposing a 24-month period of probation as a community punishment without making specific findings. (3) The trial judge did not improperly consider acquitted conduct during sentencing.</w:t>
      </w:r>
    </w:p>
    <w:p w14:paraId="2E2212C5" w14:textId="77777777" w:rsidR="001A79D1" w:rsidRPr="001A79D1" w:rsidRDefault="001A79D1" w:rsidP="001A79D1">
      <w:pPr>
        <w:rPr>
          <w:rFonts w:asciiTheme="minorHAnsi" w:hAnsiTheme="minorHAnsi"/>
        </w:rPr>
      </w:pPr>
    </w:p>
    <w:p w14:paraId="4315BEE8" w14:textId="6497C45C" w:rsidR="00087390" w:rsidRDefault="00087390" w:rsidP="005E6E22">
      <w:pPr>
        <w:spacing w:after="0" w:line="240" w:lineRule="auto"/>
        <w:rPr>
          <w:rFonts w:asciiTheme="minorHAnsi" w:hAnsiTheme="minorHAnsi"/>
        </w:rPr>
      </w:pPr>
      <w:hyperlink r:id="rId14" w:history="1">
        <w:r w:rsidRPr="005E6E22">
          <w:rPr>
            <w:rStyle w:val="Hyperlink"/>
            <w:rFonts w:asciiTheme="minorHAnsi" w:hAnsiTheme="minorHAnsi"/>
            <w:b/>
          </w:rPr>
          <w:t>State v. Simpson</w:t>
        </w:r>
      </w:hyperlink>
      <w:r w:rsidRPr="005E6E22">
        <w:rPr>
          <w:rFonts w:asciiTheme="minorHAnsi" w:hAnsiTheme="minorHAnsi"/>
        </w:rPr>
        <w:t xml:space="preserve">, COA24-1092 (N.C. Ct. App. July 15, 2026) (Buncombe County) (Carpenter). This opinion is the reconsideration of an opinion initially entered on January 7, 2026. Officers searched the defendant’s car when they observed the defendant and her sister apparently using drugs in it. Officers found two firearms in the car. The defendant was </w:t>
      </w:r>
      <w:proofErr w:type="gramStart"/>
      <w:r w:rsidRPr="005E6E22">
        <w:rPr>
          <w:rFonts w:asciiTheme="minorHAnsi" w:hAnsiTheme="minorHAnsi"/>
        </w:rPr>
        <w:t>charged</w:t>
      </w:r>
      <w:proofErr w:type="gramEnd"/>
      <w:r w:rsidRPr="005E6E22">
        <w:rPr>
          <w:rFonts w:asciiTheme="minorHAnsi" w:hAnsiTheme="minorHAnsi"/>
        </w:rPr>
        <w:t xml:space="preserve"> multiple drug crimes and two counts of carrying a concealed firearm. At trial, the defendant was found not guilty of the drug </w:t>
      </w:r>
      <w:proofErr w:type="gramStart"/>
      <w:r w:rsidRPr="005E6E22">
        <w:rPr>
          <w:rFonts w:asciiTheme="minorHAnsi" w:hAnsiTheme="minorHAnsi"/>
        </w:rPr>
        <w:t>crimes, but</w:t>
      </w:r>
      <w:proofErr w:type="gramEnd"/>
      <w:r w:rsidRPr="005E6E22">
        <w:rPr>
          <w:rFonts w:asciiTheme="minorHAnsi" w:hAnsiTheme="minorHAnsi"/>
        </w:rPr>
        <w:t xml:space="preserve"> convicted of two counts of carrying a concealed firearm. The trial court consolidated those convictions for sentencing and imposed a community punishment, sentencing the defendant to 30 days of imprisonment, suspended for 24 months of probation. The trial court did not make a specific finding that a period of probation longer than 18 months was required. Additionally, at sentencing, the trial court rejected the defendant’s requests for unsupervised probation and a prayer for judgment continued, saying that it could not “ignore the facts of the case,” including the money and drugs related to the crimes for which the defendant was acquitted. The defendant appealed.</w:t>
      </w:r>
    </w:p>
    <w:p w14:paraId="12AD31B4" w14:textId="77777777" w:rsidR="008D12B7" w:rsidRPr="005E6E22" w:rsidRDefault="008D12B7" w:rsidP="005E6E22">
      <w:pPr>
        <w:spacing w:after="0" w:line="240" w:lineRule="auto"/>
        <w:rPr>
          <w:rFonts w:asciiTheme="minorHAnsi" w:hAnsiTheme="minorHAnsi"/>
        </w:rPr>
      </w:pPr>
    </w:p>
    <w:p w14:paraId="7167D568" w14:textId="77777777" w:rsidR="008D12B7" w:rsidRDefault="00087390" w:rsidP="005E6E22">
      <w:pPr>
        <w:spacing w:after="0" w:line="240" w:lineRule="auto"/>
        <w:rPr>
          <w:rFonts w:asciiTheme="minorHAnsi" w:hAnsiTheme="minorHAnsi"/>
        </w:rPr>
      </w:pPr>
      <w:r w:rsidRPr="005E6E22">
        <w:rPr>
          <w:rFonts w:asciiTheme="minorHAnsi" w:hAnsiTheme="minorHAnsi"/>
        </w:rPr>
        <w:t xml:space="preserve">(1) The trial court </w:t>
      </w:r>
      <w:proofErr w:type="gramStart"/>
      <w:r w:rsidRPr="005E6E22">
        <w:rPr>
          <w:rFonts w:asciiTheme="minorHAnsi" w:hAnsiTheme="minorHAnsi"/>
        </w:rPr>
        <w:t>erred</w:t>
      </w:r>
      <w:proofErr w:type="gramEnd"/>
      <w:r w:rsidRPr="005E6E22">
        <w:rPr>
          <w:rFonts w:asciiTheme="minorHAnsi" w:hAnsiTheme="minorHAnsi"/>
        </w:rPr>
        <w:t xml:space="preserve"> by entering judgment on two counts of carrying a concealed firearm under G.S. 14-269 based on the defendant having two weapons on a single occasion. Analogizing to prior cases on possession of firearm by felon and other crimes, the court concluded that use of the word “any” in the statute was ambiguous as to the allowable unit of prosecution. Applying the rule of lenity, the court concluded that the unit of prosecution is based on the single incident, not on the number of firearms concealed. The court thus vacated the consolidated judgment and </w:t>
      </w:r>
      <w:proofErr w:type="gramStart"/>
      <w:r w:rsidRPr="005E6E22">
        <w:rPr>
          <w:rFonts w:asciiTheme="minorHAnsi" w:hAnsiTheme="minorHAnsi"/>
        </w:rPr>
        <w:t>remanded</w:t>
      </w:r>
      <w:proofErr w:type="gramEnd"/>
      <w:r w:rsidRPr="005E6E22">
        <w:rPr>
          <w:rFonts w:asciiTheme="minorHAnsi" w:hAnsiTheme="minorHAnsi"/>
        </w:rPr>
        <w:t xml:space="preserve"> to the trial court. </w:t>
      </w:r>
    </w:p>
    <w:p w14:paraId="4CD69D32" w14:textId="77777777" w:rsidR="008D12B7" w:rsidRDefault="008D12B7" w:rsidP="005E6E22">
      <w:pPr>
        <w:spacing w:after="0" w:line="240" w:lineRule="auto"/>
        <w:rPr>
          <w:rFonts w:asciiTheme="minorHAnsi" w:hAnsiTheme="minorHAnsi"/>
        </w:rPr>
      </w:pPr>
    </w:p>
    <w:p w14:paraId="5FC5D6B7" w14:textId="77777777" w:rsidR="008D12B7" w:rsidRDefault="00087390" w:rsidP="005E6E22">
      <w:pPr>
        <w:spacing w:after="0" w:line="240" w:lineRule="auto"/>
        <w:rPr>
          <w:rFonts w:asciiTheme="minorHAnsi" w:hAnsiTheme="minorHAnsi"/>
        </w:rPr>
      </w:pPr>
      <w:r w:rsidRPr="005E6E22">
        <w:rPr>
          <w:rFonts w:asciiTheme="minorHAnsi" w:hAnsiTheme="minorHAnsi"/>
        </w:rPr>
        <w:t xml:space="preserve">(2) The trial court erred by sentencing the defendant to 24 months of supervised probation. Under G.S. 15A-1343.2(d), the maximum term of probation for a misdemeanor sentenced to community punishment is 18 months unless the judge makes specific findings that a longer period is necessary. The judge here erred by imposing a longer probation period without specific findings. </w:t>
      </w:r>
    </w:p>
    <w:p w14:paraId="60A7D5FB" w14:textId="77777777" w:rsidR="008D12B7" w:rsidRDefault="008D12B7" w:rsidP="005E6E22">
      <w:pPr>
        <w:spacing w:after="0" w:line="240" w:lineRule="auto"/>
        <w:rPr>
          <w:rFonts w:asciiTheme="minorHAnsi" w:hAnsiTheme="minorHAnsi"/>
        </w:rPr>
      </w:pPr>
    </w:p>
    <w:p w14:paraId="3449A64B" w14:textId="43CB1315" w:rsidR="00087390" w:rsidRDefault="00087390" w:rsidP="005E6E22">
      <w:pPr>
        <w:spacing w:after="0" w:line="240" w:lineRule="auto"/>
        <w:rPr>
          <w:rFonts w:asciiTheme="minorHAnsi" w:hAnsiTheme="minorHAnsi"/>
        </w:rPr>
      </w:pPr>
      <w:r w:rsidRPr="005E6E22">
        <w:rPr>
          <w:rFonts w:asciiTheme="minorHAnsi" w:hAnsiTheme="minorHAnsi"/>
        </w:rPr>
        <w:t xml:space="preserve">(3) The trial court did not err by improperly considering acquitted conduct during sentencing. In explaining its sentencing decision, the trial court stated that it could not ignore “the amount of money, the guns, the vacuum-sealed item.” The defendant contended that the judge’s remarks alluded to the drug activity of which the defendant had been acquitted. The appellate court “caution[ed] against discussing ‘acquitted conduct’ during sentencing,” slip op. at 12, but concluded that the trial court did not err by doing so here. As to the appropriate remedy, the court authorized the trial court to </w:t>
      </w:r>
      <w:proofErr w:type="gramStart"/>
      <w:r w:rsidRPr="005E6E22">
        <w:rPr>
          <w:rFonts w:asciiTheme="minorHAnsi" w:hAnsiTheme="minorHAnsi"/>
        </w:rPr>
        <w:t>resentence</w:t>
      </w:r>
      <w:proofErr w:type="gramEnd"/>
      <w:r w:rsidRPr="005E6E22">
        <w:rPr>
          <w:rFonts w:asciiTheme="minorHAnsi" w:hAnsiTheme="minorHAnsi"/>
        </w:rPr>
        <w:t xml:space="preserve"> the defendant if the sentence has not already been completed, which would make the sentencing issue moot.</w:t>
      </w:r>
    </w:p>
    <w:p w14:paraId="35D41926" w14:textId="77777777" w:rsidR="008D12B7" w:rsidRPr="005E6E22" w:rsidRDefault="008D12B7" w:rsidP="005E6E22">
      <w:pPr>
        <w:spacing w:after="0" w:line="240" w:lineRule="auto"/>
        <w:rPr>
          <w:rFonts w:asciiTheme="minorHAnsi" w:hAnsiTheme="minorHAnsi"/>
        </w:rPr>
      </w:pPr>
    </w:p>
    <w:p w14:paraId="1CE6FA9B" w14:textId="77777777" w:rsidR="00087390" w:rsidRDefault="00087390" w:rsidP="005E6E22">
      <w:pPr>
        <w:pStyle w:val="Heading2"/>
        <w:spacing w:before="0" w:after="0" w:line="240" w:lineRule="auto"/>
        <w:rPr>
          <w:rFonts w:asciiTheme="minorHAnsi" w:hAnsiTheme="minorHAnsi"/>
          <w:sz w:val="24"/>
          <w:szCs w:val="24"/>
        </w:rPr>
      </w:pPr>
      <w:bookmarkStart w:id="7" w:name="_Toc242024769"/>
      <w:r w:rsidRPr="005E6E22">
        <w:rPr>
          <w:rFonts w:asciiTheme="minorHAnsi" w:hAnsiTheme="minorHAnsi"/>
          <w:sz w:val="24"/>
          <w:szCs w:val="24"/>
        </w:rPr>
        <w:t>Kidnapping</w:t>
      </w:r>
      <w:bookmarkEnd w:id="7"/>
    </w:p>
    <w:p w14:paraId="2FE8A97D" w14:textId="77777777" w:rsidR="008D12B7" w:rsidRPr="008D12B7" w:rsidRDefault="008D12B7" w:rsidP="008D12B7"/>
    <w:p w14:paraId="6428DE0E" w14:textId="77777777" w:rsidR="00087390" w:rsidRDefault="00087390" w:rsidP="005E6E22">
      <w:pPr>
        <w:spacing w:after="0" w:line="240" w:lineRule="auto"/>
        <w:rPr>
          <w:rFonts w:asciiTheme="minorHAnsi" w:hAnsiTheme="minorHAnsi"/>
          <w:b/>
        </w:rPr>
      </w:pPr>
      <w:r w:rsidRPr="005E6E22">
        <w:rPr>
          <w:rFonts w:asciiTheme="minorHAnsi" w:hAnsiTheme="minorHAnsi"/>
          <w:b/>
        </w:rPr>
        <w:t>The defendant restrained the victim beyond the extent necessary to murder her by suffocation, so the defendant was properly convicted of kidnapping as well as murder.</w:t>
      </w:r>
    </w:p>
    <w:p w14:paraId="1DFCE7FC" w14:textId="77777777" w:rsidR="008D12B7" w:rsidRPr="005E6E22" w:rsidRDefault="008D12B7" w:rsidP="005E6E22">
      <w:pPr>
        <w:spacing w:after="0" w:line="240" w:lineRule="auto"/>
        <w:rPr>
          <w:rFonts w:asciiTheme="minorHAnsi" w:hAnsiTheme="minorHAnsi"/>
        </w:rPr>
      </w:pPr>
    </w:p>
    <w:p w14:paraId="0EDB9F72" w14:textId="77777777" w:rsidR="00087390" w:rsidRDefault="00087390" w:rsidP="005E6E22">
      <w:pPr>
        <w:spacing w:after="0" w:line="240" w:lineRule="auto"/>
        <w:rPr>
          <w:rFonts w:asciiTheme="minorHAnsi" w:hAnsiTheme="minorHAnsi"/>
        </w:rPr>
      </w:pPr>
      <w:hyperlink r:id="rId15" w:history="1">
        <w:r w:rsidRPr="005E6E22">
          <w:rPr>
            <w:rStyle w:val="Hyperlink"/>
            <w:rFonts w:asciiTheme="minorHAnsi" w:hAnsiTheme="minorHAnsi"/>
            <w:b/>
          </w:rPr>
          <w:t>State v. Moore</w:t>
        </w:r>
      </w:hyperlink>
      <w:r w:rsidRPr="005E6E22">
        <w:rPr>
          <w:rFonts w:asciiTheme="minorHAnsi" w:hAnsiTheme="minorHAnsi"/>
        </w:rPr>
        <w:t xml:space="preserve">, No. 285A24 (N.C. Aug. 14, 2026) (Cumberland Co.) (Dietz). The defendant bound his wife with handcuffs, zip ties, and cables, then suffocated her. He was charged with, and convicted of, first-degree murder and first-degree kidnapping. The Court of Appeals vacated the kidnapping conviction, determining that the restraint used to support the kidnapping charge was an inherent part of the murder in violation of </w:t>
      </w:r>
      <w:r w:rsidRPr="008D12B7">
        <w:rPr>
          <w:rFonts w:asciiTheme="minorHAnsi" w:hAnsiTheme="minorHAnsi"/>
          <w:i/>
          <w:iCs/>
        </w:rPr>
        <w:t>State v. Fulcher</w:t>
      </w:r>
      <w:r w:rsidRPr="005E6E22">
        <w:rPr>
          <w:rFonts w:asciiTheme="minorHAnsi" w:hAnsiTheme="minorHAnsi"/>
        </w:rPr>
        <w:t>, 294 N.C. 503 (1978).</w:t>
      </w:r>
    </w:p>
    <w:p w14:paraId="19FA7A60" w14:textId="77777777" w:rsidR="008D12B7" w:rsidRPr="005E6E22" w:rsidRDefault="008D12B7" w:rsidP="005E6E22">
      <w:pPr>
        <w:spacing w:after="0" w:line="240" w:lineRule="auto"/>
        <w:rPr>
          <w:rFonts w:asciiTheme="minorHAnsi" w:hAnsiTheme="minorHAnsi"/>
        </w:rPr>
      </w:pPr>
    </w:p>
    <w:p w14:paraId="1A80A285" w14:textId="77777777" w:rsidR="00087390" w:rsidRDefault="00087390" w:rsidP="005E6E22">
      <w:pPr>
        <w:spacing w:after="0" w:line="240" w:lineRule="auto"/>
        <w:rPr>
          <w:rFonts w:asciiTheme="minorHAnsi" w:hAnsiTheme="minorHAnsi"/>
        </w:rPr>
      </w:pPr>
      <w:r w:rsidRPr="005E6E22">
        <w:rPr>
          <w:rFonts w:asciiTheme="minorHAnsi" w:hAnsiTheme="minorHAnsi"/>
        </w:rPr>
        <w:t xml:space="preserve">The Supreme Court granted review and reversed. The court looked </w:t>
      </w:r>
      <w:proofErr w:type="gramStart"/>
      <w:r w:rsidRPr="005E6E22">
        <w:rPr>
          <w:rFonts w:asciiTheme="minorHAnsi" w:hAnsiTheme="minorHAnsi"/>
        </w:rPr>
        <w:t>to</w:t>
      </w:r>
      <w:proofErr w:type="gramEnd"/>
      <w:r w:rsidRPr="005E6E22">
        <w:rPr>
          <w:rFonts w:asciiTheme="minorHAnsi" w:hAnsiTheme="minorHAnsi"/>
        </w:rPr>
        <w:t xml:space="preserve"> </w:t>
      </w:r>
      <w:r w:rsidRPr="008D12B7">
        <w:rPr>
          <w:rFonts w:asciiTheme="minorHAnsi" w:hAnsiTheme="minorHAnsi"/>
          <w:i/>
          <w:iCs/>
        </w:rPr>
        <w:t>State v. Prevette</w:t>
      </w:r>
      <w:r w:rsidRPr="005E6E22">
        <w:rPr>
          <w:rFonts w:asciiTheme="minorHAnsi" w:hAnsiTheme="minorHAnsi"/>
        </w:rPr>
        <w:t xml:space="preserve">, 317 N.C. 148 (1986), in which it had ruled that several restraints were inherent to a murder by suffocation because they prevented the victim from removing the gag in her mouth. The Court of Appeals majority found this case indistinguishable from </w:t>
      </w:r>
      <w:r w:rsidRPr="008D12B7">
        <w:rPr>
          <w:rFonts w:asciiTheme="minorHAnsi" w:hAnsiTheme="minorHAnsi"/>
          <w:i/>
          <w:iCs/>
        </w:rPr>
        <w:t>Prevette</w:t>
      </w:r>
      <w:r w:rsidRPr="005E6E22">
        <w:rPr>
          <w:rFonts w:asciiTheme="minorHAnsi" w:hAnsiTheme="minorHAnsi"/>
        </w:rPr>
        <w:t>, but the Supreme Court concluded that this case was distinguishable. The victim here was restrained far beyond what was necessary to prevent her from stopping the suffocation, including bindings “that contorted her body and pulled her [already bound] hands toward her knees and feet.”</w:t>
      </w:r>
    </w:p>
    <w:p w14:paraId="50643CB4" w14:textId="77777777" w:rsidR="008D12B7" w:rsidRPr="005E6E22" w:rsidRDefault="008D12B7" w:rsidP="005E6E22">
      <w:pPr>
        <w:spacing w:after="0" w:line="240" w:lineRule="auto"/>
        <w:rPr>
          <w:rFonts w:asciiTheme="minorHAnsi" w:hAnsiTheme="minorHAnsi"/>
        </w:rPr>
      </w:pPr>
    </w:p>
    <w:p w14:paraId="16A48133" w14:textId="069C9178" w:rsidR="00087390" w:rsidRPr="008D12B7" w:rsidRDefault="00087390" w:rsidP="005E6E22">
      <w:pPr>
        <w:spacing w:after="0" w:line="240" w:lineRule="auto"/>
        <w:rPr>
          <w:rFonts w:asciiTheme="minorHAnsi" w:hAnsiTheme="minorHAnsi"/>
        </w:rPr>
      </w:pPr>
      <w:r w:rsidRPr="005E6E22">
        <w:rPr>
          <w:rFonts w:asciiTheme="minorHAnsi" w:hAnsiTheme="minorHAnsi"/>
        </w:rPr>
        <w:t xml:space="preserve">Chief Justice Newby concurred in the result only. He would have reconsidered </w:t>
      </w:r>
      <w:r w:rsidRPr="008D12B7">
        <w:rPr>
          <w:rFonts w:asciiTheme="minorHAnsi" w:hAnsiTheme="minorHAnsi"/>
          <w:i/>
          <w:iCs/>
        </w:rPr>
        <w:t>Fulcher</w:t>
      </w:r>
      <w:r w:rsidRPr="005E6E22">
        <w:rPr>
          <w:rFonts w:asciiTheme="minorHAnsi" w:hAnsiTheme="minorHAnsi"/>
        </w:rPr>
        <w:t xml:space="preserve">, the case that originally established the rule that a kidnapping conviction may not be based on restraint that is inherent to the commission of another felony. In his view, the </w:t>
      </w:r>
      <w:r w:rsidRPr="008D12B7">
        <w:rPr>
          <w:rFonts w:asciiTheme="minorHAnsi" w:hAnsiTheme="minorHAnsi"/>
          <w:i/>
          <w:iCs/>
        </w:rPr>
        <w:t>Fulcher</w:t>
      </w:r>
      <w:r w:rsidRPr="005E6E22">
        <w:rPr>
          <w:rFonts w:asciiTheme="minorHAnsi" w:hAnsiTheme="minorHAnsi"/>
        </w:rPr>
        <w:t xml:space="preserve"> rule is not required by the text of the kidnapping statute, is not required by the Double Jeopardy Clause, and has created unnecessary disputes in application. (The majority viewed reconsideration of </w:t>
      </w:r>
      <w:r w:rsidRPr="008D12B7">
        <w:rPr>
          <w:rFonts w:asciiTheme="minorHAnsi" w:hAnsiTheme="minorHAnsi"/>
          <w:i/>
          <w:iCs/>
        </w:rPr>
        <w:t>Fulcher</w:t>
      </w:r>
      <w:r w:rsidRPr="005E6E22">
        <w:rPr>
          <w:rFonts w:asciiTheme="minorHAnsi" w:hAnsiTheme="minorHAnsi"/>
        </w:rPr>
        <w:t xml:space="preserve"> as not within the scope of its review based on the dissent in the Court of Appeals.)</w:t>
      </w:r>
    </w:p>
    <w:p w14:paraId="66DEEDD7" w14:textId="77777777" w:rsidR="00AB1938" w:rsidRPr="005E6E22" w:rsidRDefault="00AB1938" w:rsidP="005E6E22">
      <w:pPr>
        <w:spacing w:after="0" w:line="240" w:lineRule="auto"/>
        <w:rPr>
          <w:rFonts w:asciiTheme="minorHAnsi" w:hAnsiTheme="minorHAnsi" w:cs="Times New Roman"/>
        </w:rPr>
      </w:pPr>
    </w:p>
    <w:p w14:paraId="5CE58766" w14:textId="3554B5CF" w:rsidR="006924D5" w:rsidRPr="005E6E22" w:rsidRDefault="007B212A" w:rsidP="005E6E22">
      <w:pPr>
        <w:pStyle w:val="Heading1"/>
        <w:spacing w:before="0" w:after="0" w:line="240" w:lineRule="auto"/>
        <w:rPr>
          <w:rFonts w:asciiTheme="minorHAnsi" w:hAnsiTheme="minorHAnsi"/>
          <w:sz w:val="28"/>
          <w:szCs w:val="28"/>
        </w:rPr>
      </w:pPr>
      <w:bookmarkStart w:id="8" w:name="_Toc242024770"/>
      <w:r w:rsidRPr="005E6E22">
        <w:rPr>
          <w:rFonts w:asciiTheme="minorHAnsi" w:hAnsiTheme="minorHAnsi"/>
          <w:sz w:val="28"/>
          <w:szCs w:val="28"/>
        </w:rPr>
        <w:t>Right to Counsel</w:t>
      </w:r>
      <w:bookmarkEnd w:id="8"/>
    </w:p>
    <w:p w14:paraId="54F3D6D7" w14:textId="77777777" w:rsidR="006924D5" w:rsidRPr="005E6E22" w:rsidRDefault="006924D5" w:rsidP="005E6E22">
      <w:pPr>
        <w:spacing w:after="0" w:line="240" w:lineRule="auto"/>
        <w:rPr>
          <w:rFonts w:asciiTheme="minorHAnsi" w:hAnsiTheme="minorHAnsi"/>
        </w:rPr>
      </w:pPr>
    </w:p>
    <w:p w14:paraId="1241C9A3" w14:textId="42731CD1" w:rsidR="007B212A" w:rsidRDefault="007B212A" w:rsidP="005E6E22">
      <w:pPr>
        <w:pStyle w:val="Heading2"/>
        <w:spacing w:before="0" w:after="0" w:line="240" w:lineRule="auto"/>
        <w:rPr>
          <w:rFonts w:asciiTheme="minorHAnsi" w:hAnsiTheme="minorHAnsi"/>
          <w:i/>
          <w:iCs/>
          <w:sz w:val="24"/>
          <w:szCs w:val="24"/>
        </w:rPr>
      </w:pPr>
      <w:bookmarkStart w:id="9" w:name="_Toc242024771"/>
      <w:r w:rsidRPr="00CC35DA">
        <w:rPr>
          <w:rFonts w:asciiTheme="minorHAnsi" w:hAnsiTheme="minorHAnsi"/>
          <w:i/>
          <w:iCs/>
          <w:sz w:val="24"/>
          <w:szCs w:val="24"/>
        </w:rPr>
        <w:t>Harbison</w:t>
      </w:r>
      <w:bookmarkEnd w:id="9"/>
    </w:p>
    <w:p w14:paraId="7683C8E6" w14:textId="77777777" w:rsidR="00CC35DA" w:rsidRPr="00CC35DA" w:rsidRDefault="00CC35DA" w:rsidP="00CC35DA"/>
    <w:p w14:paraId="4539CFF3" w14:textId="77777777" w:rsidR="009A09FA" w:rsidRDefault="009A09FA" w:rsidP="005E6E22">
      <w:pPr>
        <w:spacing w:after="0" w:line="240" w:lineRule="auto"/>
        <w:rPr>
          <w:rFonts w:asciiTheme="minorHAnsi" w:hAnsiTheme="minorHAnsi"/>
          <w:b/>
        </w:rPr>
      </w:pPr>
      <w:r w:rsidRPr="005E6E22">
        <w:rPr>
          <w:rFonts w:asciiTheme="minorHAnsi" w:hAnsiTheme="minorHAnsi"/>
          <w:b/>
          <w:u w:val="single"/>
        </w:rPr>
        <w:t>Harbison</w:t>
      </w:r>
      <w:r w:rsidRPr="005E6E22">
        <w:rPr>
          <w:rFonts w:asciiTheme="minorHAnsi" w:hAnsiTheme="minorHAnsi"/>
          <w:b/>
        </w:rPr>
        <w:t xml:space="preserve"> is limited to cases in which a defendant is “wholly surprised” by counsel’s concession of guilt. Otherwise, a prejudice inquiry under </w:t>
      </w:r>
      <w:r w:rsidRPr="005E6E22">
        <w:rPr>
          <w:rFonts w:asciiTheme="minorHAnsi" w:hAnsiTheme="minorHAnsi"/>
          <w:b/>
          <w:u w:val="single"/>
        </w:rPr>
        <w:t>Strickland</w:t>
      </w:r>
      <w:r w:rsidRPr="005E6E22">
        <w:rPr>
          <w:rFonts w:asciiTheme="minorHAnsi" w:hAnsiTheme="minorHAnsi"/>
          <w:b/>
        </w:rPr>
        <w:t xml:space="preserve"> is required, and prejudice cannot be shown when counsel concedes guilt to a lesser </w:t>
      </w:r>
      <w:proofErr w:type="gramStart"/>
      <w:r w:rsidRPr="005E6E22">
        <w:rPr>
          <w:rFonts w:asciiTheme="minorHAnsi" w:hAnsiTheme="minorHAnsi"/>
          <w:b/>
        </w:rPr>
        <w:t>offense</w:t>
      </w:r>
      <w:proofErr w:type="gramEnd"/>
      <w:r w:rsidRPr="005E6E22">
        <w:rPr>
          <w:rFonts w:asciiTheme="minorHAnsi" w:hAnsiTheme="minorHAnsi"/>
          <w:b/>
        </w:rPr>
        <w:t xml:space="preserve"> but a jury convicts of a greater.</w:t>
      </w:r>
    </w:p>
    <w:p w14:paraId="13C84E8B" w14:textId="77777777" w:rsidR="00CC35DA" w:rsidRPr="005E6E22" w:rsidRDefault="00CC35DA" w:rsidP="005E6E22">
      <w:pPr>
        <w:spacing w:after="0" w:line="240" w:lineRule="auto"/>
        <w:rPr>
          <w:rFonts w:asciiTheme="minorHAnsi" w:hAnsiTheme="minorHAnsi"/>
        </w:rPr>
      </w:pPr>
    </w:p>
    <w:p w14:paraId="55EB8520" w14:textId="77777777" w:rsidR="009A09FA" w:rsidRDefault="009A09FA" w:rsidP="005E6E22">
      <w:pPr>
        <w:spacing w:after="0" w:line="240" w:lineRule="auto"/>
        <w:rPr>
          <w:rFonts w:asciiTheme="minorHAnsi" w:hAnsiTheme="minorHAnsi"/>
        </w:rPr>
      </w:pPr>
      <w:hyperlink r:id="rId16" w:history="1">
        <w:r w:rsidRPr="005E6E22">
          <w:rPr>
            <w:rStyle w:val="Hyperlink"/>
            <w:rFonts w:asciiTheme="minorHAnsi" w:hAnsiTheme="minorHAnsi"/>
            <w:b/>
          </w:rPr>
          <w:t>State v. Farook</w:t>
        </w:r>
      </w:hyperlink>
      <w:r w:rsidRPr="005E6E22">
        <w:rPr>
          <w:rFonts w:asciiTheme="minorHAnsi" w:hAnsiTheme="minorHAnsi"/>
        </w:rPr>
        <w:t>, No. 457PA20-2 (N.C. Aug. 14, 2026) (Rowan Co.) (Newby). The defendant caused a motor vehicle collision that killed two people. He was charged with second-degree murder and other offenses. Before and during trial, defense counsel – with the defendant’s consent – stipulated to various facts and elements of several charged offenses. In closing, defense counsel stated: “We’re not here to ask you to find him not guilty . . . we ask you to find him guilty of misdemeanor death by motor vehicle.” The jury convicted the defendant of second-degree murder and other crimes.</w:t>
      </w:r>
    </w:p>
    <w:p w14:paraId="0B4596A4" w14:textId="77777777" w:rsidR="00CC35DA" w:rsidRPr="005E6E22" w:rsidRDefault="00CC35DA" w:rsidP="005E6E22">
      <w:pPr>
        <w:spacing w:after="0" w:line="240" w:lineRule="auto"/>
        <w:rPr>
          <w:rFonts w:asciiTheme="minorHAnsi" w:hAnsiTheme="minorHAnsi"/>
        </w:rPr>
      </w:pPr>
    </w:p>
    <w:p w14:paraId="475F1363" w14:textId="77777777" w:rsidR="009A09FA" w:rsidRPr="005E6E22" w:rsidRDefault="009A09FA" w:rsidP="005E6E22">
      <w:pPr>
        <w:spacing w:after="0" w:line="240" w:lineRule="auto"/>
        <w:rPr>
          <w:rFonts w:asciiTheme="minorHAnsi" w:hAnsiTheme="minorHAnsi"/>
        </w:rPr>
      </w:pPr>
      <w:r w:rsidRPr="005E6E22">
        <w:rPr>
          <w:rFonts w:asciiTheme="minorHAnsi" w:hAnsiTheme="minorHAnsi"/>
        </w:rPr>
        <w:t xml:space="preserve">He appealed, contending that trial counsel provided ineffective assistance of counsel (IAC) by conceding his guilt without his consent in violation of the rule of </w:t>
      </w:r>
      <w:r w:rsidRPr="00CC35DA">
        <w:rPr>
          <w:rFonts w:asciiTheme="minorHAnsi" w:hAnsiTheme="minorHAnsi"/>
          <w:i/>
          <w:iCs/>
        </w:rPr>
        <w:t>State v. Harbison</w:t>
      </w:r>
      <w:r w:rsidRPr="005E6E22">
        <w:rPr>
          <w:rFonts w:asciiTheme="minorHAnsi" w:hAnsiTheme="minorHAnsi"/>
        </w:rPr>
        <w:t xml:space="preserve">, 315 N.C. 175 (1985). The Court of Appeals concluded that the defendant’s willingness to </w:t>
      </w:r>
      <w:proofErr w:type="gramStart"/>
      <w:r w:rsidRPr="005E6E22">
        <w:rPr>
          <w:rFonts w:asciiTheme="minorHAnsi" w:hAnsiTheme="minorHAnsi"/>
        </w:rPr>
        <w:t>stipulate to</w:t>
      </w:r>
      <w:proofErr w:type="gramEnd"/>
      <w:r w:rsidRPr="005E6E22">
        <w:rPr>
          <w:rFonts w:asciiTheme="minorHAnsi" w:hAnsiTheme="minorHAnsi"/>
        </w:rPr>
        <w:t xml:space="preserve"> various facts, or even to all the elements of an offense, did not necessarily amount to a willingness to admit guilt to the </w:t>
      </w:r>
      <w:proofErr w:type="gramStart"/>
      <w:r w:rsidRPr="005E6E22">
        <w:rPr>
          <w:rFonts w:asciiTheme="minorHAnsi" w:hAnsiTheme="minorHAnsi"/>
        </w:rPr>
        <w:t>offense as a whole</w:t>
      </w:r>
      <w:proofErr w:type="gramEnd"/>
      <w:r w:rsidRPr="005E6E22">
        <w:rPr>
          <w:rFonts w:asciiTheme="minorHAnsi" w:hAnsiTheme="minorHAnsi"/>
        </w:rPr>
        <w:t>. It therefore remanded for an evidentiary hearing on whether the defendant consented to counsel’s acknowledgment of his guilt of misdemeanor death by motor vehicle.</w:t>
      </w:r>
    </w:p>
    <w:p w14:paraId="257792FC" w14:textId="77777777" w:rsidR="009A09FA" w:rsidRDefault="009A09FA" w:rsidP="005E6E22">
      <w:pPr>
        <w:spacing w:after="0" w:line="240" w:lineRule="auto"/>
        <w:rPr>
          <w:rFonts w:asciiTheme="minorHAnsi" w:hAnsiTheme="minorHAnsi"/>
        </w:rPr>
      </w:pPr>
      <w:r w:rsidRPr="005E6E22">
        <w:rPr>
          <w:rFonts w:asciiTheme="minorHAnsi" w:hAnsiTheme="minorHAnsi"/>
        </w:rPr>
        <w:t xml:space="preserve">The State petitioned the Supreme Court, which allowed review. The majority opinion notes that IAC claims normally are governed by the two-part test of </w:t>
      </w:r>
      <w:r w:rsidRPr="005E6E22">
        <w:rPr>
          <w:rFonts w:asciiTheme="minorHAnsi" w:hAnsiTheme="minorHAnsi"/>
          <w:u w:val="single"/>
        </w:rPr>
        <w:t>Strickland v. Washington</w:t>
      </w:r>
      <w:r w:rsidRPr="005E6E22">
        <w:rPr>
          <w:rFonts w:asciiTheme="minorHAnsi" w:hAnsiTheme="minorHAnsi"/>
        </w:rPr>
        <w:t xml:space="preserve">, 466 U.S. 668 (1984), which requires a defendant to show both deficient performance and prejudice. However, under </w:t>
      </w:r>
      <w:r w:rsidRPr="00CC35DA">
        <w:rPr>
          <w:rFonts w:asciiTheme="minorHAnsi" w:hAnsiTheme="minorHAnsi"/>
          <w:i/>
          <w:iCs/>
        </w:rPr>
        <w:t xml:space="preserve">United States v. </w:t>
      </w:r>
      <w:proofErr w:type="spellStart"/>
      <w:r w:rsidRPr="00CC35DA">
        <w:rPr>
          <w:rFonts w:asciiTheme="minorHAnsi" w:hAnsiTheme="minorHAnsi"/>
          <w:i/>
          <w:iCs/>
        </w:rPr>
        <w:t>Cronic</w:t>
      </w:r>
      <w:proofErr w:type="spellEnd"/>
      <w:r w:rsidRPr="005E6E22">
        <w:rPr>
          <w:rFonts w:asciiTheme="minorHAnsi" w:hAnsiTheme="minorHAnsi"/>
        </w:rPr>
        <w:t xml:space="preserve">, 466 U.S. 648 (1984), some errors are so clearly damaging that prejudice may be presumed. In </w:t>
      </w:r>
      <w:r w:rsidRPr="00CC35DA">
        <w:rPr>
          <w:rFonts w:asciiTheme="minorHAnsi" w:hAnsiTheme="minorHAnsi"/>
          <w:i/>
          <w:iCs/>
        </w:rPr>
        <w:t>Harbison</w:t>
      </w:r>
      <w:r w:rsidRPr="005E6E22">
        <w:rPr>
          <w:rFonts w:asciiTheme="minorHAnsi" w:hAnsiTheme="minorHAnsi"/>
        </w:rPr>
        <w:t xml:space="preserve">, the court determined that conceding a client’s guilt without consent is per se prejudicial (i.e., is structural error) under </w:t>
      </w:r>
      <w:proofErr w:type="spellStart"/>
      <w:r w:rsidRPr="00CC35DA">
        <w:rPr>
          <w:rFonts w:asciiTheme="minorHAnsi" w:hAnsiTheme="minorHAnsi"/>
          <w:i/>
          <w:iCs/>
          <w:u w:val="single"/>
        </w:rPr>
        <w:t>Cronic</w:t>
      </w:r>
      <w:proofErr w:type="spellEnd"/>
      <w:r w:rsidRPr="005E6E22">
        <w:rPr>
          <w:rFonts w:asciiTheme="minorHAnsi" w:hAnsiTheme="minorHAnsi"/>
        </w:rPr>
        <w:t>.</w:t>
      </w:r>
    </w:p>
    <w:p w14:paraId="26AC376B" w14:textId="77777777" w:rsidR="00CC35DA" w:rsidRPr="005E6E22" w:rsidRDefault="00CC35DA" w:rsidP="005E6E22">
      <w:pPr>
        <w:spacing w:after="0" w:line="240" w:lineRule="auto"/>
        <w:rPr>
          <w:rFonts w:asciiTheme="minorHAnsi" w:hAnsiTheme="minorHAnsi"/>
        </w:rPr>
      </w:pPr>
    </w:p>
    <w:p w14:paraId="774E951A" w14:textId="77777777" w:rsidR="009A09FA" w:rsidRDefault="009A09FA" w:rsidP="005E6E22">
      <w:pPr>
        <w:spacing w:after="0" w:line="240" w:lineRule="auto"/>
        <w:rPr>
          <w:rFonts w:asciiTheme="minorHAnsi" w:hAnsiTheme="minorHAnsi"/>
        </w:rPr>
      </w:pPr>
      <w:r w:rsidRPr="005E6E22">
        <w:rPr>
          <w:rFonts w:asciiTheme="minorHAnsi" w:hAnsiTheme="minorHAnsi"/>
        </w:rPr>
        <w:t xml:space="preserve">According to the majority, in </w:t>
      </w:r>
      <w:r w:rsidRPr="00CC35DA">
        <w:rPr>
          <w:rFonts w:asciiTheme="minorHAnsi" w:hAnsiTheme="minorHAnsi"/>
          <w:i/>
          <w:iCs/>
        </w:rPr>
        <w:t>Florida v. Nixon</w:t>
      </w:r>
      <w:r w:rsidRPr="005E6E22">
        <w:rPr>
          <w:rFonts w:asciiTheme="minorHAnsi" w:hAnsiTheme="minorHAnsi"/>
        </w:rPr>
        <w:t xml:space="preserve">, 543 U.S. 175 (2004), the Supreme Court of the United States “clarified that the proper analysis of IAC claims when a defendant asserts that his trial counsel conceded his guilt without his knowing, voluntary consent is the routine application of </w:t>
      </w:r>
      <w:r w:rsidRPr="00CC35DA">
        <w:rPr>
          <w:rFonts w:asciiTheme="minorHAnsi" w:hAnsiTheme="minorHAnsi"/>
          <w:i/>
          <w:iCs/>
        </w:rPr>
        <w:t>Strickland</w:t>
      </w:r>
      <w:r w:rsidRPr="005E6E22">
        <w:rPr>
          <w:rFonts w:asciiTheme="minorHAnsi" w:hAnsiTheme="minorHAnsi"/>
        </w:rPr>
        <w:t xml:space="preserve">.” (This characterization of </w:t>
      </w:r>
      <w:r w:rsidRPr="00CC35DA">
        <w:rPr>
          <w:rFonts w:asciiTheme="minorHAnsi" w:hAnsiTheme="minorHAnsi"/>
          <w:i/>
          <w:iCs/>
        </w:rPr>
        <w:t>Nixon</w:t>
      </w:r>
      <w:r w:rsidRPr="005E6E22">
        <w:rPr>
          <w:rFonts w:asciiTheme="minorHAnsi" w:hAnsiTheme="minorHAnsi"/>
          <w:u w:val="single"/>
        </w:rPr>
        <w:t xml:space="preserve"> </w:t>
      </w:r>
      <w:r w:rsidRPr="005E6E22">
        <w:rPr>
          <w:rFonts w:asciiTheme="minorHAnsi" w:hAnsiTheme="minorHAnsi"/>
        </w:rPr>
        <w:t>was not shared by the dissent, as described below.)</w:t>
      </w:r>
    </w:p>
    <w:p w14:paraId="47E20DDA" w14:textId="77777777" w:rsidR="00CC35DA" w:rsidRPr="005E6E22" w:rsidRDefault="00CC35DA" w:rsidP="005E6E22">
      <w:pPr>
        <w:spacing w:after="0" w:line="240" w:lineRule="auto"/>
        <w:rPr>
          <w:rFonts w:asciiTheme="minorHAnsi" w:hAnsiTheme="minorHAnsi"/>
        </w:rPr>
      </w:pPr>
    </w:p>
    <w:p w14:paraId="1CBAF232" w14:textId="77777777" w:rsidR="009A09FA" w:rsidRDefault="009A09FA" w:rsidP="005E6E22">
      <w:pPr>
        <w:spacing w:after="0" w:line="240" w:lineRule="auto"/>
        <w:rPr>
          <w:rFonts w:asciiTheme="minorHAnsi" w:hAnsiTheme="minorHAnsi"/>
        </w:rPr>
      </w:pPr>
      <w:r w:rsidRPr="005E6E22">
        <w:rPr>
          <w:rFonts w:asciiTheme="minorHAnsi" w:hAnsiTheme="minorHAnsi"/>
        </w:rPr>
        <w:t xml:space="preserve">Still, the majority did not go so far as to overrule </w:t>
      </w:r>
      <w:r w:rsidRPr="00CC35DA">
        <w:rPr>
          <w:rFonts w:asciiTheme="minorHAnsi" w:hAnsiTheme="minorHAnsi"/>
          <w:i/>
          <w:iCs/>
        </w:rPr>
        <w:t>Harbison</w:t>
      </w:r>
      <w:r w:rsidRPr="005E6E22">
        <w:rPr>
          <w:rFonts w:asciiTheme="minorHAnsi" w:hAnsiTheme="minorHAnsi"/>
          <w:u w:val="single"/>
        </w:rPr>
        <w:t xml:space="preserve"> </w:t>
      </w:r>
      <w:r w:rsidRPr="005E6E22">
        <w:rPr>
          <w:rFonts w:asciiTheme="minorHAnsi" w:hAnsiTheme="minorHAnsi"/>
        </w:rPr>
        <w:t xml:space="preserve">entirely. Instead, it concluded that </w:t>
      </w:r>
      <w:r w:rsidRPr="005E6E22">
        <w:rPr>
          <w:rFonts w:asciiTheme="minorHAnsi" w:hAnsiTheme="minorHAnsi"/>
          <w:u w:val="single"/>
        </w:rPr>
        <w:t xml:space="preserve">Harbison </w:t>
      </w:r>
      <w:r w:rsidRPr="005E6E22">
        <w:rPr>
          <w:rFonts w:asciiTheme="minorHAnsi" w:hAnsiTheme="minorHAnsi"/>
        </w:rPr>
        <w:t xml:space="preserve">was correctly decided on its facts because it involved a surprise concession by counsel that was at odds with the defendant’s strategy throughout the trial. Thus, it involved counsel “entirely failing to oppose the State’s case or to function as his client’s advocate,” properly bringing the case under </w:t>
      </w:r>
      <w:proofErr w:type="spellStart"/>
      <w:r w:rsidRPr="00CC35DA">
        <w:rPr>
          <w:rFonts w:asciiTheme="minorHAnsi" w:hAnsiTheme="minorHAnsi"/>
          <w:i/>
          <w:iCs/>
        </w:rPr>
        <w:t>Cronic</w:t>
      </w:r>
      <w:proofErr w:type="spellEnd"/>
      <w:r w:rsidRPr="005E6E22">
        <w:rPr>
          <w:rFonts w:asciiTheme="minorHAnsi" w:hAnsiTheme="minorHAnsi"/>
        </w:rPr>
        <w:t>.</w:t>
      </w:r>
    </w:p>
    <w:p w14:paraId="427C1BAD" w14:textId="77777777" w:rsidR="00CC35DA" w:rsidRPr="005E6E22" w:rsidRDefault="00CC35DA" w:rsidP="005E6E22">
      <w:pPr>
        <w:spacing w:after="0" w:line="240" w:lineRule="auto"/>
        <w:rPr>
          <w:rFonts w:asciiTheme="minorHAnsi" w:hAnsiTheme="minorHAnsi"/>
        </w:rPr>
      </w:pPr>
    </w:p>
    <w:p w14:paraId="4AEA236F" w14:textId="77777777" w:rsidR="009A09FA" w:rsidRPr="005E6E22" w:rsidRDefault="009A09FA" w:rsidP="005E6E22">
      <w:pPr>
        <w:spacing w:after="0" w:line="240" w:lineRule="auto"/>
        <w:rPr>
          <w:rFonts w:asciiTheme="minorHAnsi" w:hAnsiTheme="minorHAnsi"/>
        </w:rPr>
      </w:pPr>
      <w:r w:rsidRPr="005E6E22">
        <w:rPr>
          <w:rFonts w:asciiTheme="minorHAnsi" w:hAnsiTheme="minorHAnsi"/>
        </w:rPr>
        <w:t xml:space="preserve">In the case at bar, by contrast, counsel “employed a concession strategy to which defendant agreed, at least in part.” Because the defendant was not “wholly surprised” by counsel’s admission of guilt, the majority concluded that </w:t>
      </w:r>
      <w:r w:rsidRPr="00CC35DA">
        <w:rPr>
          <w:rFonts w:asciiTheme="minorHAnsi" w:hAnsiTheme="minorHAnsi"/>
          <w:i/>
          <w:iCs/>
        </w:rPr>
        <w:t>Strickland</w:t>
      </w:r>
      <w:r w:rsidRPr="005E6E22">
        <w:rPr>
          <w:rFonts w:asciiTheme="minorHAnsi" w:hAnsiTheme="minorHAnsi"/>
        </w:rPr>
        <w:t xml:space="preserve">, rather than </w:t>
      </w:r>
      <w:proofErr w:type="spellStart"/>
      <w:r w:rsidRPr="00CC35DA">
        <w:rPr>
          <w:rFonts w:asciiTheme="minorHAnsi" w:hAnsiTheme="minorHAnsi"/>
          <w:i/>
          <w:iCs/>
          <w:u w:val="single"/>
        </w:rPr>
        <w:t>Cronic</w:t>
      </w:r>
      <w:proofErr w:type="spellEnd"/>
      <w:r w:rsidRPr="005E6E22">
        <w:rPr>
          <w:rFonts w:asciiTheme="minorHAnsi" w:hAnsiTheme="minorHAnsi"/>
        </w:rPr>
        <w:t xml:space="preserve">, applied. And the defendant could not show prejudice under </w:t>
      </w:r>
      <w:r w:rsidRPr="005E6E22">
        <w:rPr>
          <w:rFonts w:asciiTheme="minorHAnsi" w:hAnsiTheme="minorHAnsi"/>
          <w:u w:val="single"/>
        </w:rPr>
        <w:t xml:space="preserve">Strickland </w:t>
      </w:r>
      <w:r w:rsidRPr="005E6E22">
        <w:rPr>
          <w:rFonts w:asciiTheme="minorHAnsi" w:hAnsiTheme="minorHAnsi"/>
        </w:rPr>
        <w:t>because counsel conceded his guilt only to misdemeanor death by vehicle, but the jury found him guilty of second-degree murder. The court “determine[d] as a matter of law that defendant cannot show prejudice from counsel’s concession of his guilt to the lesser included offenses.”</w:t>
      </w:r>
    </w:p>
    <w:p w14:paraId="135E26CE" w14:textId="77777777" w:rsidR="009A09FA" w:rsidRDefault="009A09FA" w:rsidP="005E6E22">
      <w:pPr>
        <w:spacing w:after="0" w:line="240" w:lineRule="auto"/>
        <w:rPr>
          <w:rFonts w:asciiTheme="minorHAnsi" w:hAnsiTheme="minorHAnsi"/>
        </w:rPr>
      </w:pPr>
      <w:r w:rsidRPr="005E6E22">
        <w:rPr>
          <w:rFonts w:asciiTheme="minorHAnsi" w:hAnsiTheme="minorHAnsi"/>
        </w:rPr>
        <w:t xml:space="preserve">Justice Berger concurred </w:t>
      </w:r>
      <w:proofErr w:type="gramStart"/>
      <w:r w:rsidRPr="005E6E22">
        <w:rPr>
          <w:rFonts w:asciiTheme="minorHAnsi" w:hAnsiTheme="minorHAnsi"/>
        </w:rPr>
        <w:t>in</w:t>
      </w:r>
      <w:proofErr w:type="gramEnd"/>
      <w:r w:rsidRPr="005E6E22">
        <w:rPr>
          <w:rFonts w:asciiTheme="minorHAnsi" w:hAnsiTheme="minorHAnsi"/>
        </w:rPr>
        <w:t xml:space="preserve"> the result only. He would have held that </w:t>
      </w:r>
      <w:proofErr w:type="spellStart"/>
      <w:r w:rsidRPr="00CC35DA">
        <w:rPr>
          <w:rFonts w:asciiTheme="minorHAnsi" w:hAnsiTheme="minorHAnsi"/>
          <w:i/>
          <w:iCs/>
          <w:u w:val="single"/>
        </w:rPr>
        <w:t>Cronic</w:t>
      </w:r>
      <w:proofErr w:type="spellEnd"/>
      <w:r w:rsidRPr="005E6E22">
        <w:rPr>
          <w:rFonts w:asciiTheme="minorHAnsi" w:hAnsiTheme="minorHAnsi"/>
          <w:u w:val="single"/>
        </w:rPr>
        <w:t xml:space="preserve"> </w:t>
      </w:r>
      <w:r w:rsidRPr="005E6E22">
        <w:rPr>
          <w:rFonts w:asciiTheme="minorHAnsi" w:hAnsiTheme="minorHAnsi"/>
        </w:rPr>
        <w:t xml:space="preserve">applies only when a defendant “expressly object[s] to the concession and counsel proceed[s] anyway,” which he indicated would “usually be apparent from the record” as it was in </w:t>
      </w:r>
      <w:r w:rsidRPr="00CC35DA">
        <w:rPr>
          <w:rFonts w:asciiTheme="minorHAnsi" w:hAnsiTheme="minorHAnsi"/>
          <w:i/>
          <w:iCs/>
        </w:rPr>
        <w:t>McCoy v. Louisiana</w:t>
      </w:r>
      <w:r w:rsidRPr="005E6E22">
        <w:rPr>
          <w:rFonts w:asciiTheme="minorHAnsi" w:hAnsiTheme="minorHAnsi"/>
        </w:rPr>
        <w:t>, 584 U.S. 414 (2018). In his view, that would be a more faithful application of federal law and a less confusing rule than the “wholly surprised” test embraced by the majority.</w:t>
      </w:r>
    </w:p>
    <w:p w14:paraId="317478F3" w14:textId="77777777" w:rsidR="00CC35DA" w:rsidRPr="005E6E22" w:rsidRDefault="00CC35DA" w:rsidP="005E6E22">
      <w:pPr>
        <w:spacing w:after="0" w:line="240" w:lineRule="auto"/>
        <w:rPr>
          <w:rFonts w:asciiTheme="minorHAnsi" w:hAnsiTheme="minorHAnsi"/>
        </w:rPr>
      </w:pPr>
    </w:p>
    <w:p w14:paraId="1E035945" w14:textId="77777777" w:rsidR="009A09FA" w:rsidRPr="005E6E22" w:rsidRDefault="009A09FA" w:rsidP="005E6E22">
      <w:pPr>
        <w:spacing w:after="0" w:line="240" w:lineRule="auto"/>
        <w:rPr>
          <w:rFonts w:asciiTheme="minorHAnsi" w:hAnsiTheme="minorHAnsi"/>
        </w:rPr>
      </w:pPr>
      <w:r w:rsidRPr="005E6E22">
        <w:rPr>
          <w:rFonts w:asciiTheme="minorHAnsi" w:hAnsiTheme="minorHAnsi"/>
        </w:rPr>
        <w:t xml:space="preserve">Justice Riggs, joined by Justice Earls, dissented. She argued that the majority was engaged in “judicial activism” by “eradicating precedent from our books with which it philosophically or politically disagrees.” She offered a narrower reading of </w:t>
      </w:r>
      <w:r w:rsidRPr="00CC35DA">
        <w:rPr>
          <w:rFonts w:asciiTheme="minorHAnsi" w:hAnsiTheme="minorHAnsi"/>
          <w:i/>
          <w:iCs/>
        </w:rPr>
        <w:t>Nixon</w:t>
      </w:r>
      <w:r w:rsidRPr="005E6E22">
        <w:rPr>
          <w:rFonts w:asciiTheme="minorHAnsi" w:hAnsiTheme="minorHAnsi"/>
        </w:rPr>
        <w:t xml:space="preserve">, emphasizing that it was a capital case and that “counsel’s concession </w:t>
      </w:r>
      <w:proofErr w:type="gramStart"/>
      <w:r w:rsidRPr="005E6E22">
        <w:rPr>
          <w:rFonts w:asciiTheme="minorHAnsi" w:hAnsiTheme="minorHAnsi"/>
        </w:rPr>
        <w:t>appear</w:t>
      </w:r>
      <w:proofErr w:type="gramEnd"/>
      <w:r w:rsidRPr="005E6E22">
        <w:rPr>
          <w:rFonts w:asciiTheme="minorHAnsi" w:hAnsiTheme="minorHAnsi"/>
        </w:rPr>
        <w:t xml:space="preserve">[ed] to be a part of trial strategy that has been discussed and disclosed to the defendant, who neither consent[ed] nor object[ed] to the strategy.” She would have continued to apply </w:t>
      </w:r>
      <w:r w:rsidRPr="00CC35DA">
        <w:rPr>
          <w:rFonts w:asciiTheme="minorHAnsi" w:hAnsiTheme="minorHAnsi"/>
          <w:i/>
          <w:iCs/>
        </w:rPr>
        <w:t>Harbison</w:t>
      </w:r>
      <w:r w:rsidRPr="005E6E22">
        <w:rPr>
          <w:rFonts w:asciiTheme="minorHAnsi" w:hAnsiTheme="minorHAnsi"/>
          <w:u w:val="single"/>
        </w:rPr>
        <w:t xml:space="preserve"> </w:t>
      </w:r>
      <w:r w:rsidRPr="005E6E22">
        <w:rPr>
          <w:rFonts w:asciiTheme="minorHAnsi" w:hAnsiTheme="minorHAnsi"/>
        </w:rPr>
        <w:t xml:space="preserve">to non-capital cases involving concessions of guilt without affirmative consent and would have </w:t>
      </w:r>
      <w:proofErr w:type="gramStart"/>
      <w:r w:rsidRPr="005E6E22">
        <w:rPr>
          <w:rFonts w:asciiTheme="minorHAnsi" w:hAnsiTheme="minorHAnsi"/>
        </w:rPr>
        <w:t>remanded</w:t>
      </w:r>
      <w:proofErr w:type="gramEnd"/>
      <w:r w:rsidRPr="005E6E22">
        <w:rPr>
          <w:rFonts w:asciiTheme="minorHAnsi" w:hAnsiTheme="minorHAnsi"/>
        </w:rPr>
        <w:t xml:space="preserve"> this case for an inquiry into whether the defendant had agreed to the admissions made by counsel.</w:t>
      </w:r>
    </w:p>
    <w:p w14:paraId="2A6AD6A5" w14:textId="77777777" w:rsidR="0035408A" w:rsidRDefault="0035408A" w:rsidP="005E6E22">
      <w:pPr>
        <w:pStyle w:val="Heading2"/>
        <w:spacing w:before="0" w:after="0" w:line="240" w:lineRule="auto"/>
        <w:rPr>
          <w:rFonts w:asciiTheme="minorHAnsi" w:hAnsiTheme="minorHAnsi"/>
          <w:sz w:val="24"/>
          <w:szCs w:val="24"/>
        </w:rPr>
      </w:pPr>
    </w:p>
    <w:p w14:paraId="7538D6E6" w14:textId="1AD35B81" w:rsidR="00834DED" w:rsidRDefault="00834DED" w:rsidP="005E6E22">
      <w:pPr>
        <w:pStyle w:val="Heading2"/>
        <w:spacing w:before="0" w:after="0" w:line="240" w:lineRule="auto"/>
        <w:rPr>
          <w:rFonts w:asciiTheme="minorHAnsi" w:hAnsiTheme="minorHAnsi"/>
          <w:sz w:val="24"/>
          <w:szCs w:val="24"/>
        </w:rPr>
      </w:pPr>
      <w:bookmarkStart w:id="10" w:name="_Toc242024772"/>
      <w:r w:rsidRPr="005E6E22">
        <w:rPr>
          <w:rFonts w:asciiTheme="minorHAnsi" w:hAnsiTheme="minorHAnsi"/>
          <w:sz w:val="24"/>
          <w:szCs w:val="24"/>
        </w:rPr>
        <w:t>Waiver</w:t>
      </w:r>
      <w:bookmarkEnd w:id="10"/>
    </w:p>
    <w:p w14:paraId="6B7AC5CE" w14:textId="77777777" w:rsidR="00F76264" w:rsidRPr="00F76264" w:rsidRDefault="00F76264" w:rsidP="00F76264"/>
    <w:p w14:paraId="20991F81" w14:textId="77777777" w:rsidR="00834DED" w:rsidRDefault="00834DED" w:rsidP="005E6E22">
      <w:pPr>
        <w:spacing w:after="0" w:line="240" w:lineRule="auto"/>
        <w:rPr>
          <w:rFonts w:asciiTheme="minorHAnsi" w:hAnsiTheme="minorHAnsi"/>
          <w:b/>
        </w:rPr>
      </w:pPr>
      <w:r w:rsidRPr="005E6E22">
        <w:rPr>
          <w:rFonts w:asciiTheme="minorHAnsi" w:hAnsiTheme="minorHAnsi"/>
          <w:b/>
        </w:rPr>
        <w:t>A defendant waived his right to court-appointed counsel when he filed two handwritten waivers and, during a colloquy after the withdrawal of his fifth attorney, did not request the appointment of a sixth.</w:t>
      </w:r>
    </w:p>
    <w:p w14:paraId="7DF3EC8D" w14:textId="77777777" w:rsidR="00F76264" w:rsidRPr="005E6E22" w:rsidRDefault="00F76264" w:rsidP="005E6E22">
      <w:pPr>
        <w:spacing w:after="0" w:line="240" w:lineRule="auto"/>
        <w:rPr>
          <w:rFonts w:asciiTheme="minorHAnsi" w:hAnsiTheme="minorHAnsi"/>
        </w:rPr>
      </w:pPr>
    </w:p>
    <w:p w14:paraId="2D5A6BB6" w14:textId="415A3AD8" w:rsidR="00834DED" w:rsidRDefault="00834DED" w:rsidP="005E6E22">
      <w:pPr>
        <w:spacing w:after="0" w:line="240" w:lineRule="auto"/>
        <w:rPr>
          <w:rFonts w:asciiTheme="minorHAnsi" w:hAnsiTheme="minorHAnsi"/>
        </w:rPr>
      </w:pPr>
      <w:hyperlink r:id="rId17" w:history="1">
        <w:r w:rsidRPr="005E6E22">
          <w:rPr>
            <w:rStyle w:val="Hyperlink"/>
            <w:rFonts w:asciiTheme="minorHAnsi" w:hAnsiTheme="minorHAnsi"/>
            <w:b/>
          </w:rPr>
          <w:t>State v. McGirt</w:t>
        </w:r>
      </w:hyperlink>
      <w:r w:rsidRPr="005E6E22">
        <w:rPr>
          <w:rFonts w:asciiTheme="minorHAnsi" w:hAnsiTheme="minorHAnsi"/>
        </w:rPr>
        <w:t xml:space="preserve">, No. 91A25 (N.C. Aug. 14, 2026) (Wake Co.) (Earls). The defendant was charged with child sex offenses. He was determined to be </w:t>
      </w:r>
      <w:proofErr w:type="gramStart"/>
      <w:r w:rsidRPr="005E6E22">
        <w:rPr>
          <w:rFonts w:asciiTheme="minorHAnsi" w:hAnsiTheme="minorHAnsi"/>
        </w:rPr>
        <w:t>indigent</w:t>
      </w:r>
      <w:proofErr w:type="gramEnd"/>
      <w:r w:rsidRPr="005E6E22">
        <w:rPr>
          <w:rFonts w:asciiTheme="minorHAnsi" w:hAnsiTheme="minorHAnsi"/>
        </w:rPr>
        <w:t xml:space="preserve"> and a public defender was appointed. The public defender withdrew two months later due to a conflict. A private attorney was appointed but soon left private practice and withdrew. A third attorney was appointed but allowed to withdraw due to “personal reasons.” A fourth attorney was appointed but was allowed to withdraw after the defendant filed a motion expressing dissatisfaction with her. A fifth attorney was appointed. The defendant wrote to the judge asking to “fire” the attorney and expressing dissatisfaction. The attorney moved to withdraw.</w:t>
      </w:r>
    </w:p>
    <w:p w14:paraId="73B95EA7" w14:textId="77777777" w:rsidR="00F76264" w:rsidRPr="005E6E22" w:rsidRDefault="00F76264" w:rsidP="005E6E22">
      <w:pPr>
        <w:spacing w:after="0" w:line="240" w:lineRule="auto"/>
        <w:rPr>
          <w:rFonts w:asciiTheme="minorHAnsi" w:hAnsiTheme="minorHAnsi"/>
        </w:rPr>
      </w:pPr>
    </w:p>
    <w:p w14:paraId="00E2E26A" w14:textId="77777777" w:rsidR="00834DED" w:rsidRDefault="00834DED" w:rsidP="005E6E22">
      <w:pPr>
        <w:spacing w:after="0" w:line="240" w:lineRule="auto"/>
        <w:rPr>
          <w:rFonts w:asciiTheme="minorHAnsi" w:hAnsiTheme="minorHAnsi"/>
        </w:rPr>
      </w:pPr>
      <w:r w:rsidRPr="005E6E22">
        <w:rPr>
          <w:rFonts w:asciiTheme="minorHAnsi" w:hAnsiTheme="minorHAnsi"/>
        </w:rPr>
        <w:t>Shortly before trial, the court heard the fifth attorney’s motion and allowed him to withdraw. The judge noted that the defendant had filed two handwritten documents entitled “waiver of counsel.” The judge further discussed representation with the defendant. The defendant expressed dissatisfaction with his previous attorneys and did not request that another be appointed. The judge found a waiver of counsel but appointed standby counsel.</w:t>
      </w:r>
    </w:p>
    <w:p w14:paraId="2BDCDA4E" w14:textId="77777777" w:rsidR="00F76264" w:rsidRPr="005E6E22" w:rsidRDefault="00F76264" w:rsidP="005E6E22">
      <w:pPr>
        <w:spacing w:after="0" w:line="240" w:lineRule="auto"/>
        <w:rPr>
          <w:rFonts w:asciiTheme="minorHAnsi" w:hAnsiTheme="minorHAnsi"/>
        </w:rPr>
      </w:pPr>
    </w:p>
    <w:p w14:paraId="1B149FF4" w14:textId="77777777" w:rsidR="00834DED" w:rsidRDefault="00834DED" w:rsidP="005E6E22">
      <w:pPr>
        <w:spacing w:after="0" w:line="240" w:lineRule="auto"/>
        <w:rPr>
          <w:rFonts w:asciiTheme="minorHAnsi" w:hAnsiTheme="minorHAnsi"/>
        </w:rPr>
      </w:pPr>
      <w:r w:rsidRPr="005E6E22">
        <w:rPr>
          <w:rFonts w:asciiTheme="minorHAnsi" w:hAnsiTheme="minorHAnsi"/>
        </w:rPr>
        <w:t>A week before trial, the defendant requested that counsel be appointed. The judge denied the motion based on the waiver. At trial, standby counsel cross-examined the State’s witnesses and the defendant otherwise represented himself. He was convicted and received a long sentence.</w:t>
      </w:r>
    </w:p>
    <w:p w14:paraId="397CCB69" w14:textId="77777777" w:rsidR="00F76264" w:rsidRPr="005E6E22" w:rsidRDefault="00F76264" w:rsidP="005E6E22">
      <w:pPr>
        <w:spacing w:after="0" w:line="240" w:lineRule="auto"/>
        <w:rPr>
          <w:rFonts w:asciiTheme="minorHAnsi" w:hAnsiTheme="minorHAnsi"/>
        </w:rPr>
      </w:pPr>
    </w:p>
    <w:p w14:paraId="014903E6" w14:textId="77777777" w:rsidR="00834DED" w:rsidRPr="005E6E22" w:rsidRDefault="00834DED" w:rsidP="005E6E22">
      <w:pPr>
        <w:spacing w:after="0" w:line="240" w:lineRule="auto"/>
        <w:rPr>
          <w:rFonts w:asciiTheme="minorHAnsi" w:hAnsiTheme="minorHAnsi"/>
        </w:rPr>
      </w:pPr>
      <w:r w:rsidRPr="005E6E22">
        <w:rPr>
          <w:rFonts w:asciiTheme="minorHAnsi" w:hAnsiTheme="minorHAnsi"/>
        </w:rPr>
        <w:t>The Court of Appeals ruled that the defendant had neither waived nor forfeited his right to counsel and ordered a new trial. The Supreme Court granted review and reversed.</w:t>
      </w:r>
    </w:p>
    <w:p w14:paraId="69274CA1" w14:textId="77777777" w:rsidR="00834DED" w:rsidRDefault="00834DED" w:rsidP="005E6E22">
      <w:pPr>
        <w:spacing w:after="0" w:line="240" w:lineRule="auto"/>
        <w:rPr>
          <w:rFonts w:asciiTheme="minorHAnsi" w:hAnsiTheme="minorHAnsi"/>
        </w:rPr>
      </w:pPr>
      <w:r w:rsidRPr="005E6E22">
        <w:rPr>
          <w:rFonts w:asciiTheme="minorHAnsi" w:hAnsiTheme="minorHAnsi"/>
        </w:rPr>
        <w:t>As a constitutional matter, the right to counsel may be waived only if the defendant “clearly and unequivocally” expresses a desire to proceed without counsel. As a statutory matter, G.S. 15A-1242 requires a “thorough inquiry” into the defendant’s desire and awareness of consequences. However, no “magic words” are required and the nature of a waiver must be assessed under the totality of the circumstances.</w:t>
      </w:r>
    </w:p>
    <w:p w14:paraId="6B3CC859" w14:textId="77777777" w:rsidR="00F76264" w:rsidRPr="005E6E22" w:rsidRDefault="00F76264" w:rsidP="005E6E22">
      <w:pPr>
        <w:spacing w:after="0" w:line="240" w:lineRule="auto"/>
        <w:rPr>
          <w:rFonts w:asciiTheme="minorHAnsi" w:hAnsiTheme="minorHAnsi"/>
        </w:rPr>
      </w:pPr>
    </w:p>
    <w:p w14:paraId="23B3BC48" w14:textId="77777777" w:rsidR="00834DED" w:rsidRDefault="00834DED" w:rsidP="005E6E22">
      <w:pPr>
        <w:spacing w:after="0" w:line="240" w:lineRule="auto"/>
        <w:rPr>
          <w:rFonts w:asciiTheme="minorHAnsi" w:hAnsiTheme="minorHAnsi"/>
        </w:rPr>
      </w:pPr>
      <w:r w:rsidRPr="005E6E22">
        <w:rPr>
          <w:rFonts w:asciiTheme="minorHAnsi" w:hAnsiTheme="minorHAnsi"/>
        </w:rPr>
        <w:t>Applying these principles to this case, the court concluded:</w:t>
      </w:r>
    </w:p>
    <w:p w14:paraId="244B1CCD" w14:textId="77777777" w:rsidR="00F76264" w:rsidRPr="005E6E22" w:rsidRDefault="00F76264" w:rsidP="005E6E22">
      <w:pPr>
        <w:spacing w:after="0" w:line="240" w:lineRule="auto"/>
        <w:rPr>
          <w:rFonts w:asciiTheme="minorHAnsi" w:hAnsiTheme="minorHAnsi"/>
        </w:rPr>
      </w:pPr>
    </w:p>
    <w:p w14:paraId="414AE030" w14:textId="77777777" w:rsidR="00834DED" w:rsidRPr="005E6E22" w:rsidRDefault="00834DED" w:rsidP="005E6E22">
      <w:pPr>
        <w:spacing w:after="0" w:line="240" w:lineRule="auto"/>
        <w:rPr>
          <w:rFonts w:asciiTheme="minorHAnsi" w:hAnsiTheme="minorHAnsi"/>
        </w:rPr>
      </w:pPr>
      <w:r w:rsidRPr="005E6E22">
        <w:rPr>
          <w:rFonts w:asciiTheme="minorHAnsi" w:hAnsiTheme="minorHAnsi"/>
        </w:rPr>
        <w:t xml:space="preserve">Viewing the </w:t>
      </w:r>
      <w:proofErr w:type="gramStart"/>
      <w:r w:rsidRPr="005E6E22">
        <w:rPr>
          <w:rFonts w:asciiTheme="minorHAnsi" w:hAnsiTheme="minorHAnsi"/>
        </w:rPr>
        <w:t>record as a whole, the</w:t>
      </w:r>
      <w:proofErr w:type="gramEnd"/>
      <w:r w:rsidRPr="005E6E22">
        <w:rPr>
          <w:rFonts w:asciiTheme="minorHAnsi" w:hAnsiTheme="minorHAnsi"/>
        </w:rPr>
        <w:t xml:space="preserve"> evidence establishes that Mr. McGirt clearly and unequivocally expressed his desire to waive counsel and proceed </w:t>
      </w:r>
      <w:proofErr w:type="gramStart"/>
      <w:r w:rsidRPr="005E6E22">
        <w:rPr>
          <w:rFonts w:asciiTheme="minorHAnsi" w:hAnsiTheme="minorHAnsi"/>
        </w:rPr>
        <w:t>pro se</w:t>
      </w:r>
      <w:proofErr w:type="gramEnd"/>
      <w:r w:rsidRPr="005E6E22">
        <w:rPr>
          <w:rFonts w:asciiTheme="minorHAnsi" w:hAnsiTheme="minorHAnsi"/>
        </w:rPr>
        <w:t>. That expression was not confined to a single moment but was the culmination of a sustained course of conduct spanning approximately fifty months and five appointed attorneys—a course of conduct that, particularly in its final stages, left no doubt as to Mr. McGirt’s intentions. This course of conduct was then confirmed in the court’s colloquy with Mr. McGirt.</w:t>
      </w:r>
    </w:p>
    <w:p w14:paraId="70875698" w14:textId="77777777" w:rsidR="00834DED" w:rsidRDefault="00834DED" w:rsidP="005E6E22">
      <w:pPr>
        <w:spacing w:after="0" w:line="240" w:lineRule="auto"/>
        <w:rPr>
          <w:rFonts w:asciiTheme="minorHAnsi" w:hAnsiTheme="minorHAnsi"/>
        </w:rPr>
      </w:pPr>
      <w:r w:rsidRPr="005E6E22">
        <w:rPr>
          <w:rFonts w:asciiTheme="minorHAnsi" w:hAnsiTheme="minorHAnsi"/>
        </w:rPr>
        <w:t>The court pointed to the defendant’s written waivers, his dissatisfaction with his fourth and fifth attorneys, and his failure to request a sixth attorney as particularly compelling. The court also ruled that any error by the trial judge in informing the defendant of the potential punishment he faced did not violate G.S. 15A-1242 because, under State v. Fenner, 387 N.C. 330 (2025), there is no violation where both the actual punishment and the judge’s misstatement amount to a de facto life sentence.</w:t>
      </w:r>
    </w:p>
    <w:p w14:paraId="44A31E3F" w14:textId="77777777" w:rsidR="00F76264" w:rsidRPr="005E6E22" w:rsidRDefault="00F76264" w:rsidP="005E6E22">
      <w:pPr>
        <w:spacing w:after="0" w:line="240" w:lineRule="auto"/>
        <w:rPr>
          <w:rFonts w:asciiTheme="minorHAnsi" w:hAnsiTheme="minorHAnsi"/>
        </w:rPr>
      </w:pPr>
    </w:p>
    <w:p w14:paraId="1311F829" w14:textId="77777777" w:rsidR="00834DED" w:rsidRPr="005E6E22" w:rsidRDefault="00834DED" w:rsidP="005E6E22">
      <w:pPr>
        <w:spacing w:after="0" w:line="240" w:lineRule="auto"/>
        <w:rPr>
          <w:rFonts w:asciiTheme="minorHAnsi" w:hAnsiTheme="minorHAnsi"/>
        </w:rPr>
      </w:pPr>
      <w:r w:rsidRPr="005E6E22">
        <w:rPr>
          <w:rFonts w:asciiTheme="minorHAnsi" w:hAnsiTheme="minorHAnsi"/>
        </w:rPr>
        <w:t xml:space="preserve">Chief Justice Newby concurred separately. He agreed that the “disposition of the case does not require us to consider whether defendant forfeited his right to counsel. Regardless, [he wrote] separately to address forfeiture in hopes of clarifying some lingering confusion about its relationship with waiver.” His opinion </w:t>
      </w:r>
      <w:proofErr w:type="gramStart"/>
      <w:r w:rsidRPr="005E6E22">
        <w:rPr>
          <w:rFonts w:asciiTheme="minorHAnsi" w:hAnsiTheme="minorHAnsi"/>
        </w:rPr>
        <w:t>generally</w:t>
      </w:r>
      <w:proofErr w:type="gramEnd"/>
      <w:r w:rsidRPr="005E6E22">
        <w:rPr>
          <w:rFonts w:asciiTheme="minorHAnsi" w:hAnsiTheme="minorHAnsi"/>
        </w:rPr>
        <w:t xml:space="preserve"> distinguished between a knowing and voluntary waiver of the right to counsel and a forfeiture of the right based on obstructive behavior.</w:t>
      </w:r>
    </w:p>
    <w:p w14:paraId="336A08F3" w14:textId="77777777" w:rsidR="00834DED" w:rsidRPr="005E6E22" w:rsidRDefault="00834DED" w:rsidP="005E6E22">
      <w:pPr>
        <w:spacing w:after="0" w:line="240" w:lineRule="auto"/>
        <w:rPr>
          <w:rFonts w:asciiTheme="minorHAnsi" w:hAnsiTheme="minorHAnsi"/>
        </w:rPr>
      </w:pPr>
    </w:p>
    <w:p w14:paraId="12845F4C" w14:textId="77777777" w:rsidR="00786671" w:rsidRPr="005E6E22" w:rsidRDefault="00786671" w:rsidP="005E6E22">
      <w:pPr>
        <w:spacing w:after="0" w:line="240" w:lineRule="auto"/>
        <w:rPr>
          <w:rFonts w:asciiTheme="minorHAnsi" w:hAnsiTheme="minorHAnsi" w:cs="Times New Roman"/>
        </w:rPr>
      </w:pPr>
    </w:p>
    <w:p w14:paraId="5FDD40E5" w14:textId="1CCB1325" w:rsidR="009F08D1" w:rsidRPr="005E6E22" w:rsidRDefault="009F08D1" w:rsidP="005E6E22">
      <w:pPr>
        <w:pStyle w:val="Heading1"/>
        <w:spacing w:before="0" w:after="0" w:line="240" w:lineRule="auto"/>
        <w:rPr>
          <w:rFonts w:asciiTheme="minorHAnsi" w:hAnsiTheme="minorHAnsi"/>
          <w:sz w:val="28"/>
          <w:szCs w:val="28"/>
        </w:rPr>
      </w:pPr>
      <w:bookmarkStart w:id="11" w:name="_Toc242024773"/>
      <w:r w:rsidRPr="005E6E22">
        <w:rPr>
          <w:rFonts w:asciiTheme="minorHAnsi" w:hAnsiTheme="minorHAnsi"/>
          <w:sz w:val="28"/>
          <w:szCs w:val="28"/>
        </w:rPr>
        <w:t>Defenses</w:t>
      </w:r>
      <w:bookmarkEnd w:id="11"/>
    </w:p>
    <w:p w14:paraId="2D531226" w14:textId="77777777" w:rsidR="00C71678" w:rsidRPr="005E6E22" w:rsidRDefault="00C71678" w:rsidP="005E6E22">
      <w:pPr>
        <w:spacing w:after="0" w:line="240" w:lineRule="auto"/>
        <w:rPr>
          <w:rFonts w:asciiTheme="minorHAnsi" w:hAnsiTheme="minorHAnsi"/>
        </w:rPr>
      </w:pPr>
    </w:p>
    <w:p w14:paraId="22B7C32D" w14:textId="511A2671" w:rsidR="009263F5" w:rsidRPr="005E6E22" w:rsidRDefault="009263F5" w:rsidP="005E6E22">
      <w:pPr>
        <w:pStyle w:val="Heading2"/>
        <w:spacing w:before="0" w:after="0" w:line="240" w:lineRule="auto"/>
        <w:rPr>
          <w:rFonts w:asciiTheme="minorHAnsi" w:hAnsiTheme="minorHAnsi"/>
          <w:sz w:val="24"/>
          <w:szCs w:val="24"/>
        </w:rPr>
      </w:pPr>
      <w:bookmarkStart w:id="12" w:name="_Toc242024774"/>
      <w:r w:rsidRPr="005E6E22">
        <w:rPr>
          <w:rFonts w:asciiTheme="minorHAnsi" w:hAnsiTheme="minorHAnsi"/>
          <w:sz w:val="24"/>
          <w:szCs w:val="24"/>
        </w:rPr>
        <w:t xml:space="preserve">Self </w:t>
      </w:r>
      <w:r w:rsidR="00B04D90" w:rsidRPr="005E6E22">
        <w:rPr>
          <w:rFonts w:asciiTheme="minorHAnsi" w:hAnsiTheme="minorHAnsi"/>
          <w:sz w:val="24"/>
          <w:szCs w:val="24"/>
        </w:rPr>
        <w:t>Defense</w:t>
      </w:r>
      <w:bookmarkEnd w:id="12"/>
    </w:p>
    <w:p w14:paraId="1FAD5061" w14:textId="77777777" w:rsidR="00F76264" w:rsidRDefault="00F76264" w:rsidP="005E6E22">
      <w:pPr>
        <w:spacing w:after="0" w:line="240" w:lineRule="auto"/>
        <w:rPr>
          <w:rFonts w:asciiTheme="minorHAnsi" w:hAnsiTheme="minorHAnsi"/>
          <w:b/>
        </w:rPr>
      </w:pPr>
    </w:p>
    <w:p w14:paraId="45DA56A8" w14:textId="31763A74" w:rsidR="009068FB" w:rsidRDefault="009068FB" w:rsidP="005E6E22">
      <w:pPr>
        <w:spacing w:after="0" w:line="240" w:lineRule="auto"/>
        <w:rPr>
          <w:rFonts w:asciiTheme="minorHAnsi" w:hAnsiTheme="minorHAnsi"/>
          <w:b/>
        </w:rPr>
      </w:pPr>
      <w:r w:rsidRPr="005E6E22">
        <w:rPr>
          <w:rFonts w:asciiTheme="minorHAnsi" w:hAnsiTheme="minorHAnsi"/>
          <w:b/>
        </w:rPr>
        <w:t>When a person is “forced to leave” their home, vehicle, or office “by physical means or fear,” the person remains an “occupant” of the premises or vehicle and is eligible for the protection of the castle doctrine.</w:t>
      </w:r>
    </w:p>
    <w:p w14:paraId="772DC1F1" w14:textId="77777777" w:rsidR="00F76264" w:rsidRPr="005E6E22" w:rsidRDefault="00F76264" w:rsidP="005E6E22">
      <w:pPr>
        <w:spacing w:after="0" w:line="240" w:lineRule="auto"/>
        <w:rPr>
          <w:rFonts w:asciiTheme="minorHAnsi" w:hAnsiTheme="minorHAnsi"/>
        </w:rPr>
      </w:pPr>
    </w:p>
    <w:p w14:paraId="643B385B" w14:textId="77777777" w:rsidR="009068FB" w:rsidRDefault="009068FB" w:rsidP="005E6E22">
      <w:pPr>
        <w:spacing w:after="0" w:line="240" w:lineRule="auto"/>
        <w:rPr>
          <w:rFonts w:asciiTheme="minorHAnsi" w:hAnsiTheme="minorHAnsi"/>
        </w:rPr>
      </w:pPr>
      <w:hyperlink r:id="rId18" w:history="1">
        <w:r w:rsidRPr="005E6E22">
          <w:rPr>
            <w:rStyle w:val="Hyperlink"/>
            <w:rFonts w:asciiTheme="minorHAnsi" w:hAnsiTheme="minorHAnsi"/>
            <w:b/>
          </w:rPr>
          <w:t>State v. Williams</w:t>
        </w:r>
      </w:hyperlink>
      <w:r w:rsidRPr="005E6E22">
        <w:rPr>
          <w:rFonts w:asciiTheme="minorHAnsi" w:hAnsiTheme="minorHAnsi"/>
        </w:rPr>
        <w:t>, No. 21PA25 (N.C. Aug. 14, 2026) (Wake Co.) (Riggs). Ms. Lewis dated Mr. Penny for eight months. They broke up but remained in contact. Ms. Lewis began communicating with the defendant and eventually went for a ride with him in his car. They returned to Ms. Lewis’s house after the drive and parked briefly at the curb. Mr. Penny appeared.</w:t>
      </w:r>
    </w:p>
    <w:p w14:paraId="058B5274" w14:textId="77777777" w:rsidR="00F76264" w:rsidRPr="005E6E22" w:rsidRDefault="00F76264" w:rsidP="005E6E22">
      <w:pPr>
        <w:spacing w:after="0" w:line="240" w:lineRule="auto"/>
        <w:rPr>
          <w:rFonts w:asciiTheme="minorHAnsi" w:hAnsiTheme="minorHAnsi"/>
        </w:rPr>
      </w:pPr>
    </w:p>
    <w:p w14:paraId="4EEDE648" w14:textId="77777777" w:rsidR="009068FB" w:rsidRDefault="009068FB" w:rsidP="005E6E22">
      <w:pPr>
        <w:spacing w:after="0" w:line="240" w:lineRule="auto"/>
        <w:rPr>
          <w:rFonts w:asciiTheme="minorHAnsi" w:hAnsiTheme="minorHAnsi"/>
        </w:rPr>
      </w:pPr>
      <w:r w:rsidRPr="005E6E22">
        <w:rPr>
          <w:rFonts w:asciiTheme="minorHAnsi" w:hAnsiTheme="minorHAnsi"/>
        </w:rPr>
        <w:t>Witnesses testified to different versions of what happened next, but in the light most favorable to the defendant, Mr. Penny opened the passenger door of the defendant’s car, leaned over Ms. Lewis, and began punching the defendant. Mr. Penny then drew a gun, but the defendant wrested it from him. Mr. Penny continued punching the defendant. The defendant opened the driver’s side door and exited the vehicle. Mr. Penny came quickly around the front of the car, seemingly to further assault the defendant, when the defendant fatally shot him.</w:t>
      </w:r>
    </w:p>
    <w:p w14:paraId="502BE16C" w14:textId="77777777" w:rsidR="00F76264" w:rsidRPr="005E6E22" w:rsidRDefault="00F76264" w:rsidP="005E6E22">
      <w:pPr>
        <w:spacing w:after="0" w:line="240" w:lineRule="auto"/>
        <w:rPr>
          <w:rFonts w:asciiTheme="minorHAnsi" w:hAnsiTheme="minorHAnsi"/>
        </w:rPr>
      </w:pPr>
    </w:p>
    <w:p w14:paraId="17A82F3A" w14:textId="7D1A9AB2" w:rsidR="009068FB" w:rsidRDefault="009068FB" w:rsidP="005E6E22">
      <w:pPr>
        <w:spacing w:after="0" w:line="240" w:lineRule="auto"/>
        <w:rPr>
          <w:rFonts w:asciiTheme="minorHAnsi" w:hAnsiTheme="minorHAnsi"/>
        </w:rPr>
      </w:pPr>
      <w:r w:rsidRPr="005E6E22">
        <w:rPr>
          <w:rFonts w:asciiTheme="minorHAnsi" w:hAnsiTheme="minorHAnsi"/>
        </w:rPr>
        <w:t xml:space="preserve">The defendant was charged with first-degree murder. He claimed self-defense and requested that the jury be instructed on the castle doctrine contained in </w:t>
      </w:r>
      <w:r w:rsidRPr="00F76264">
        <w:rPr>
          <w:rFonts w:asciiTheme="minorHAnsi" w:hAnsiTheme="minorHAnsi"/>
          <w:bCs w:val="0"/>
        </w:rPr>
        <w:t>G.S. 14-51.2</w:t>
      </w:r>
      <w:r w:rsidRPr="005E6E22">
        <w:rPr>
          <w:rFonts w:asciiTheme="minorHAnsi" w:hAnsiTheme="minorHAnsi"/>
        </w:rPr>
        <w:t xml:space="preserve"> (creating a rebuttable presumption that a “lawful occupant of a home, motor vehicle, or workplace” held a “reasonable fear of imminent death or serious bodily harm” when using force against a person who “was in the process of unlawfully and forcefully entering, or had unlawfully and forcibly entered, a home, motor vehicle, or workplace” or who “had removed or was attempting to remove another . . . from the home, motor vehicle, or workplace”). The trial judge agreed to instruct on self-defense but declined to instruct on the castle doctrine because the defendant was outside the vehicle when he shot Mr. Penny. The jury convicted the defendant of involuntary manslaughter.</w:t>
      </w:r>
    </w:p>
    <w:p w14:paraId="20B450D0" w14:textId="77777777" w:rsidR="00F76264" w:rsidRPr="005E6E22" w:rsidRDefault="00F76264" w:rsidP="005E6E22">
      <w:pPr>
        <w:spacing w:after="0" w:line="240" w:lineRule="auto"/>
        <w:rPr>
          <w:rFonts w:asciiTheme="minorHAnsi" w:hAnsiTheme="minorHAnsi"/>
        </w:rPr>
      </w:pPr>
    </w:p>
    <w:p w14:paraId="2A287A18" w14:textId="77777777" w:rsidR="009068FB" w:rsidRDefault="009068FB" w:rsidP="005E6E22">
      <w:pPr>
        <w:spacing w:after="0" w:line="240" w:lineRule="auto"/>
        <w:rPr>
          <w:rFonts w:asciiTheme="minorHAnsi" w:hAnsiTheme="minorHAnsi"/>
        </w:rPr>
      </w:pPr>
      <w:r w:rsidRPr="005E6E22">
        <w:rPr>
          <w:rFonts w:asciiTheme="minorHAnsi" w:hAnsiTheme="minorHAnsi"/>
        </w:rPr>
        <w:t>The Court of Appeals reversed, finding that the term “occupant” was “ambiguous” and holding that it could, under certain circumstances, encompass a person who had just left a home, vehicle, or workplace. The defendant in this case, allegedly driven from his vehicle by Mr. Penny’s attack, was entitled to have the jury consider his claim to have been an “occupant,” so they jury should have been instructed on the castle doctrine.</w:t>
      </w:r>
    </w:p>
    <w:p w14:paraId="4537F6E5" w14:textId="77777777" w:rsidR="0050541E" w:rsidRPr="005E6E22" w:rsidRDefault="0050541E" w:rsidP="005E6E22">
      <w:pPr>
        <w:spacing w:after="0" w:line="240" w:lineRule="auto"/>
        <w:rPr>
          <w:rFonts w:asciiTheme="minorHAnsi" w:hAnsiTheme="minorHAnsi"/>
        </w:rPr>
      </w:pPr>
    </w:p>
    <w:p w14:paraId="6DE0C322" w14:textId="77777777" w:rsidR="009068FB" w:rsidRDefault="009068FB" w:rsidP="005E6E22">
      <w:pPr>
        <w:spacing w:after="0" w:line="240" w:lineRule="auto"/>
        <w:rPr>
          <w:rFonts w:asciiTheme="minorHAnsi" w:hAnsiTheme="minorHAnsi"/>
        </w:rPr>
      </w:pPr>
      <w:r w:rsidRPr="005E6E22">
        <w:rPr>
          <w:rFonts w:asciiTheme="minorHAnsi" w:hAnsiTheme="minorHAnsi"/>
        </w:rPr>
        <w:t>The Supreme Court affirmed the Court of Appeals with some modifications. It found no ambiguity in the term “occupant”:</w:t>
      </w:r>
    </w:p>
    <w:p w14:paraId="2C7D47F9" w14:textId="77777777" w:rsidR="0050541E" w:rsidRPr="005E6E22" w:rsidRDefault="0050541E" w:rsidP="005E6E22">
      <w:pPr>
        <w:spacing w:after="0" w:line="240" w:lineRule="auto"/>
        <w:rPr>
          <w:rFonts w:asciiTheme="minorHAnsi" w:hAnsiTheme="minorHAnsi"/>
        </w:rPr>
      </w:pPr>
    </w:p>
    <w:p w14:paraId="62AAD614" w14:textId="77777777" w:rsidR="009068FB" w:rsidRDefault="009068FB" w:rsidP="005E6E22">
      <w:pPr>
        <w:spacing w:after="0" w:line="240" w:lineRule="auto"/>
        <w:rPr>
          <w:rFonts w:asciiTheme="minorHAnsi" w:hAnsiTheme="minorHAnsi"/>
        </w:rPr>
      </w:pPr>
      <w:r w:rsidRPr="005E6E22">
        <w:rPr>
          <w:rFonts w:asciiTheme="minorHAnsi" w:hAnsiTheme="minorHAnsi"/>
        </w:rPr>
        <w:t>The legislature plainly intended the protection of the castle doctrine to extend to a lawful occupant who was being forced to leave, by physical means or fear, the protection of the occupant’s vehicle. The “occupant” does not lose their “lawful occupant” status when the occupant only chooses to leave the safety of his or her vehicle because of the unlawful and forceful actions of the intruder.</w:t>
      </w:r>
    </w:p>
    <w:p w14:paraId="4EEB891B" w14:textId="77777777" w:rsidR="0050541E" w:rsidRPr="005E6E22" w:rsidRDefault="0050541E" w:rsidP="005E6E22">
      <w:pPr>
        <w:spacing w:after="0" w:line="240" w:lineRule="auto"/>
        <w:rPr>
          <w:rFonts w:asciiTheme="minorHAnsi" w:hAnsiTheme="minorHAnsi"/>
        </w:rPr>
      </w:pPr>
    </w:p>
    <w:p w14:paraId="4EE3984E" w14:textId="77777777" w:rsidR="009068FB" w:rsidRDefault="009068FB" w:rsidP="005E6E22">
      <w:pPr>
        <w:spacing w:after="0" w:line="240" w:lineRule="auto"/>
        <w:rPr>
          <w:rFonts w:asciiTheme="minorHAnsi" w:hAnsiTheme="minorHAnsi"/>
        </w:rPr>
      </w:pPr>
      <w:r w:rsidRPr="005E6E22">
        <w:rPr>
          <w:rFonts w:asciiTheme="minorHAnsi" w:hAnsiTheme="minorHAnsi"/>
        </w:rPr>
        <w:t>The Court left for another day any questions about what constitutes forcing an occupant to leave, or how long after departure the occupant remains an occupant. In the case at bar, the defendant was entitled to the castle doctrine instruction because in the light most favorable to him, the evidence showed that he “exited his vehicle during the attack and only in response to it.” And the instructional error was prejudicial because the jury’s verdict of involuntary manslaughter suggested that the jurors concluded that the defendant acted in self-defense but was excessive in using deadly force – exactly the type of force that is presumptively justified under the castle doctrine. The court therefore ordered a new trial.</w:t>
      </w:r>
    </w:p>
    <w:p w14:paraId="05884667" w14:textId="77777777" w:rsidR="0050541E" w:rsidRPr="005E6E22" w:rsidRDefault="0050541E" w:rsidP="005E6E22">
      <w:pPr>
        <w:spacing w:after="0" w:line="240" w:lineRule="auto"/>
        <w:rPr>
          <w:rFonts w:asciiTheme="minorHAnsi" w:hAnsiTheme="minorHAnsi"/>
        </w:rPr>
      </w:pPr>
    </w:p>
    <w:p w14:paraId="0C56B66A" w14:textId="77777777" w:rsidR="009068FB" w:rsidRPr="005E6E22" w:rsidRDefault="009068FB" w:rsidP="005E6E22">
      <w:pPr>
        <w:spacing w:after="0" w:line="240" w:lineRule="auto"/>
        <w:rPr>
          <w:rFonts w:asciiTheme="minorHAnsi" w:hAnsiTheme="minorHAnsi"/>
        </w:rPr>
      </w:pPr>
      <w:r w:rsidRPr="005E6E22">
        <w:rPr>
          <w:rFonts w:asciiTheme="minorHAnsi" w:hAnsiTheme="minorHAnsi"/>
        </w:rPr>
        <w:t>Justice Berger dissented. He would have held that the defendant was not an “occupant” because he “voluntarily excited his motor vehicle” and was outside it at the time of the shooting.</w:t>
      </w:r>
    </w:p>
    <w:p w14:paraId="3846237B" w14:textId="77777777" w:rsidR="00C71678" w:rsidRPr="005E6E22" w:rsidRDefault="00C71678" w:rsidP="005E6E22">
      <w:pPr>
        <w:spacing w:after="0" w:line="240" w:lineRule="auto"/>
        <w:rPr>
          <w:rFonts w:asciiTheme="minorHAnsi" w:hAnsiTheme="minorHAnsi"/>
        </w:rPr>
      </w:pPr>
    </w:p>
    <w:p w14:paraId="645FDA82" w14:textId="77777777" w:rsidR="009B04A3" w:rsidRDefault="009B04A3">
      <w:pPr>
        <w:spacing w:line="278" w:lineRule="auto"/>
        <w:rPr>
          <w:rFonts w:asciiTheme="minorHAnsi" w:eastAsiaTheme="majorEastAsia" w:hAnsiTheme="minorHAnsi" w:cstheme="majorBidi"/>
          <w:bCs w:val="0"/>
          <w:color w:val="0F4761" w:themeColor="accent1" w:themeShade="BF"/>
          <w:kern w:val="2"/>
          <w:sz w:val="28"/>
          <w:szCs w:val="28"/>
          <w14:ligatures w14:val="standardContextual"/>
        </w:rPr>
      </w:pPr>
      <w:r>
        <w:rPr>
          <w:rFonts w:asciiTheme="minorHAnsi" w:hAnsiTheme="minorHAnsi"/>
          <w:sz w:val="28"/>
          <w:szCs w:val="28"/>
        </w:rPr>
        <w:br w:type="page"/>
      </w:r>
    </w:p>
    <w:p w14:paraId="3E2A995C" w14:textId="17B06002" w:rsidR="009263F5" w:rsidRPr="005E6E22" w:rsidRDefault="00617CF3" w:rsidP="005E6E22">
      <w:pPr>
        <w:pStyle w:val="Heading1"/>
        <w:spacing w:before="0" w:after="0" w:line="240" w:lineRule="auto"/>
        <w:rPr>
          <w:rFonts w:asciiTheme="minorHAnsi" w:hAnsiTheme="minorHAnsi"/>
          <w:sz w:val="28"/>
          <w:szCs w:val="28"/>
        </w:rPr>
      </w:pPr>
      <w:bookmarkStart w:id="13" w:name="_Toc242024775"/>
      <w:r w:rsidRPr="005E6E22">
        <w:rPr>
          <w:rFonts w:asciiTheme="minorHAnsi" w:hAnsiTheme="minorHAnsi"/>
          <w:sz w:val="28"/>
          <w:szCs w:val="28"/>
        </w:rPr>
        <w:t>Jury Instructions</w:t>
      </w:r>
      <w:bookmarkEnd w:id="13"/>
    </w:p>
    <w:p w14:paraId="413F1748" w14:textId="77777777" w:rsidR="005E6E22" w:rsidRPr="005E6E22" w:rsidRDefault="005E6E22" w:rsidP="005E6E22">
      <w:pPr>
        <w:spacing w:after="0" w:line="240" w:lineRule="auto"/>
        <w:rPr>
          <w:rFonts w:asciiTheme="minorHAnsi" w:hAnsiTheme="minorHAnsi"/>
          <w:b/>
        </w:rPr>
      </w:pPr>
    </w:p>
    <w:p w14:paraId="7B35D453" w14:textId="77777777" w:rsidR="005E6E22" w:rsidRDefault="005E6E22" w:rsidP="005E6E22">
      <w:pPr>
        <w:spacing w:after="0" w:line="240" w:lineRule="auto"/>
        <w:rPr>
          <w:rFonts w:asciiTheme="minorHAnsi" w:hAnsiTheme="minorHAnsi"/>
          <w:b/>
        </w:rPr>
      </w:pPr>
      <w:r w:rsidRPr="005E6E22">
        <w:rPr>
          <w:rFonts w:asciiTheme="minorHAnsi" w:hAnsiTheme="minorHAnsi"/>
          <w:b/>
        </w:rPr>
        <w:t>Defendant was entitled to a new trial on first-degree murder based on error in the jury instructions on felony murder (one judge concurring in the result only and one dissenting).</w:t>
      </w:r>
    </w:p>
    <w:p w14:paraId="4D742622" w14:textId="77777777" w:rsidR="0050541E" w:rsidRPr="005E6E22" w:rsidRDefault="0050541E" w:rsidP="005E6E22">
      <w:pPr>
        <w:spacing w:after="0" w:line="240" w:lineRule="auto"/>
        <w:rPr>
          <w:rFonts w:asciiTheme="minorHAnsi" w:hAnsiTheme="minorHAnsi"/>
        </w:rPr>
      </w:pPr>
    </w:p>
    <w:p w14:paraId="5B1F7CE5" w14:textId="7AD79FF7" w:rsidR="005E6E22" w:rsidRDefault="005E6E22" w:rsidP="005E6E22">
      <w:pPr>
        <w:spacing w:after="0" w:line="240" w:lineRule="auto"/>
        <w:rPr>
          <w:rFonts w:asciiTheme="minorHAnsi" w:hAnsiTheme="minorHAnsi"/>
        </w:rPr>
      </w:pPr>
      <w:hyperlink r:id="rId19" w:history="1">
        <w:r w:rsidRPr="005E6E22">
          <w:rPr>
            <w:rStyle w:val="Hyperlink"/>
            <w:rFonts w:asciiTheme="minorHAnsi" w:hAnsiTheme="minorHAnsi"/>
            <w:b/>
          </w:rPr>
          <w:t>State v. Johnson</w:t>
        </w:r>
      </w:hyperlink>
      <w:r w:rsidRPr="005E6E22">
        <w:rPr>
          <w:rFonts w:asciiTheme="minorHAnsi" w:hAnsiTheme="minorHAnsi"/>
        </w:rPr>
        <w:t>, No. COA25-1000 (N.C. Ct. App. Sept. 16, 2026) (Wake County)</w:t>
      </w:r>
      <w:r w:rsidR="003254B1">
        <w:rPr>
          <w:rFonts w:asciiTheme="minorHAnsi" w:hAnsiTheme="minorHAnsi"/>
        </w:rPr>
        <w:t xml:space="preserve"> (Arrowood)</w:t>
      </w:r>
      <w:r w:rsidR="00943E05">
        <w:rPr>
          <w:rFonts w:asciiTheme="minorHAnsi" w:hAnsiTheme="minorHAnsi"/>
        </w:rPr>
        <w:t xml:space="preserve">, </w:t>
      </w:r>
      <w:r w:rsidR="00943E05" w:rsidRPr="00943E05">
        <w:rPr>
          <w:rFonts w:asciiTheme="minorHAnsi" w:hAnsiTheme="minorHAnsi"/>
          <w:i/>
          <w:iCs/>
        </w:rPr>
        <w:t xml:space="preserve">temp. stay </w:t>
      </w:r>
      <w:proofErr w:type="gramStart"/>
      <w:r w:rsidR="00943E05" w:rsidRPr="00943E05">
        <w:rPr>
          <w:rFonts w:asciiTheme="minorHAnsi" w:hAnsiTheme="minorHAnsi"/>
          <w:i/>
          <w:iCs/>
        </w:rPr>
        <w:t>allowed</w:t>
      </w:r>
      <w:r w:rsidR="00943E05">
        <w:rPr>
          <w:rFonts w:asciiTheme="minorHAnsi" w:hAnsiTheme="minorHAnsi"/>
        </w:rPr>
        <w:t>,</w:t>
      </w:r>
      <w:proofErr w:type="gramEnd"/>
      <w:r w:rsidR="00943E05">
        <w:rPr>
          <w:rFonts w:asciiTheme="minorHAnsi" w:hAnsiTheme="minorHAnsi"/>
        </w:rPr>
        <w:t xml:space="preserve"> ___ N.C. ___ (October 1, 2026)</w:t>
      </w:r>
      <w:r w:rsidRPr="005E6E22">
        <w:rPr>
          <w:rFonts w:asciiTheme="minorHAnsi" w:hAnsiTheme="minorHAnsi"/>
        </w:rPr>
        <w:t xml:space="preserve">. On November 5, 2022, Defendant, a convicted felon, had an altercation with his girlfriend at her house in Raleigh. Her cousin, </w:t>
      </w:r>
      <w:proofErr w:type="spellStart"/>
      <w:r w:rsidRPr="005E6E22">
        <w:rPr>
          <w:rFonts w:asciiTheme="minorHAnsi" w:hAnsiTheme="minorHAnsi"/>
        </w:rPr>
        <w:t>Jermiller</w:t>
      </w:r>
      <w:proofErr w:type="spellEnd"/>
      <w:r w:rsidRPr="005E6E22">
        <w:rPr>
          <w:rFonts w:asciiTheme="minorHAnsi" w:hAnsiTheme="minorHAnsi"/>
        </w:rPr>
        <w:t xml:space="preserve"> Kernny, arrived at the house and attempted to intervene. As Defendant left, </w:t>
      </w:r>
      <w:proofErr w:type="spellStart"/>
      <w:r w:rsidRPr="005E6E22">
        <w:rPr>
          <w:rFonts w:asciiTheme="minorHAnsi" w:hAnsiTheme="minorHAnsi"/>
        </w:rPr>
        <w:t>Kernny</w:t>
      </w:r>
      <w:proofErr w:type="spellEnd"/>
      <w:r w:rsidRPr="005E6E22">
        <w:rPr>
          <w:rFonts w:asciiTheme="minorHAnsi" w:hAnsiTheme="minorHAnsi"/>
        </w:rPr>
        <w:t xml:space="preserve"> pushed Defendant down, dislodging a firearm from his pocket. Defendant grabbed the gun and shot </w:t>
      </w:r>
      <w:proofErr w:type="spellStart"/>
      <w:r w:rsidRPr="005E6E22">
        <w:rPr>
          <w:rFonts w:asciiTheme="minorHAnsi" w:hAnsiTheme="minorHAnsi"/>
        </w:rPr>
        <w:t>Kernny</w:t>
      </w:r>
      <w:proofErr w:type="spellEnd"/>
      <w:r w:rsidRPr="005E6E22">
        <w:rPr>
          <w:rFonts w:asciiTheme="minorHAnsi" w:hAnsiTheme="minorHAnsi"/>
        </w:rPr>
        <w:t xml:space="preserve">. </w:t>
      </w:r>
      <w:proofErr w:type="spellStart"/>
      <w:r w:rsidRPr="005E6E22">
        <w:rPr>
          <w:rFonts w:asciiTheme="minorHAnsi" w:hAnsiTheme="minorHAnsi"/>
        </w:rPr>
        <w:t>Kernny</w:t>
      </w:r>
      <w:proofErr w:type="spellEnd"/>
      <w:r w:rsidRPr="005E6E22">
        <w:rPr>
          <w:rFonts w:asciiTheme="minorHAnsi" w:hAnsiTheme="minorHAnsi"/>
        </w:rPr>
        <w:t xml:space="preserve"> died </w:t>
      </w:r>
      <w:proofErr w:type="gramStart"/>
      <w:r w:rsidRPr="005E6E22">
        <w:rPr>
          <w:rFonts w:asciiTheme="minorHAnsi" w:hAnsiTheme="minorHAnsi"/>
        </w:rPr>
        <w:t>as a result of</w:t>
      </w:r>
      <w:proofErr w:type="gramEnd"/>
      <w:r w:rsidRPr="005E6E22">
        <w:rPr>
          <w:rFonts w:asciiTheme="minorHAnsi" w:hAnsiTheme="minorHAnsi"/>
        </w:rPr>
        <w:t xml:space="preserve"> the single gunshot wound to the chest. Defendant was charged with murder and possession of a firearm by a felon. The matter </w:t>
      </w:r>
      <w:proofErr w:type="gramStart"/>
      <w:r w:rsidRPr="005E6E22">
        <w:rPr>
          <w:rFonts w:asciiTheme="minorHAnsi" w:hAnsiTheme="minorHAnsi"/>
        </w:rPr>
        <w:t>came on</w:t>
      </w:r>
      <w:proofErr w:type="gramEnd"/>
      <w:r w:rsidRPr="005E6E22">
        <w:rPr>
          <w:rFonts w:asciiTheme="minorHAnsi" w:hAnsiTheme="minorHAnsi"/>
        </w:rPr>
        <w:t xml:space="preserve"> for trial by jury in April 2025. The trial court instructed the jury on first-degree murder based on premeditation and deliberation. Over objection, the trial court also </w:t>
      </w:r>
      <w:proofErr w:type="gramStart"/>
      <w:r w:rsidRPr="005E6E22">
        <w:rPr>
          <w:rFonts w:asciiTheme="minorHAnsi" w:hAnsiTheme="minorHAnsi"/>
        </w:rPr>
        <w:t>instructed on</w:t>
      </w:r>
      <w:proofErr w:type="gramEnd"/>
      <w:r w:rsidRPr="005E6E22">
        <w:rPr>
          <w:rFonts w:asciiTheme="minorHAnsi" w:hAnsiTheme="minorHAnsi"/>
        </w:rPr>
        <w:t xml:space="preserve"> felony murder with possession of a firearm by a felon as the underlying felony. Defendant was convicted of felony murder and possession of a firearm by a felon. The trial court arrested judgment on the possession of a firearm by a felon. For murder, Defendant was sentenced to life without parole. Defendant appealed.</w:t>
      </w:r>
    </w:p>
    <w:p w14:paraId="4BC9EA19" w14:textId="77777777" w:rsidR="003254B1" w:rsidRPr="005E6E22" w:rsidRDefault="003254B1" w:rsidP="005E6E22">
      <w:pPr>
        <w:spacing w:after="0" w:line="240" w:lineRule="auto"/>
        <w:rPr>
          <w:rFonts w:asciiTheme="minorHAnsi" w:hAnsiTheme="minorHAnsi"/>
        </w:rPr>
      </w:pPr>
    </w:p>
    <w:p w14:paraId="62074A0F" w14:textId="77777777" w:rsidR="005E6E22" w:rsidRDefault="005E6E22" w:rsidP="005E6E22">
      <w:pPr>
        <w:spacing w:after="0" w:line="240" w:lineRule="auto"/>
        <w:rPr>
          <w:rFonts w:asciiTheme="minorHAnsi" w:hAnsiTheme="minorHAnsi"/>
        </w:rPr>
      </w:pPr>
      <w:r w:rsidRPr="005E6E22">
        <w:rPr>
          <w:rFonts w:asciiTheme="minorHAnsi" w:hAnsiTheme="minorHAnsi"/>
        </w:rPr>
        <w:t>Before the Court of Appeals, Defendant argued (1) that possession of a firearm by a felon is “categorically excluded” as an underlying felony for felony murder, and (2) the felony murder instruction violated his due process right to adequate notice of the charges against him.</w:t>
      </w:r>
    </w:p>
    <w:p w14:paraId="0E96B27B" w14:textId="77777777" w:rsidR="003254B1" w:rsidRPr="005E6E22" w:rsidRDefault="003254B1" w:rsidP="005E6E22">
      <w:pPr>
        <w:spacing w:after="0" w:line="240" w:lineRule="auto"/>
        <w:rPr>
          <w:rFonts w:asciiTheme="minorHAnsi" w:hAnsiTheme="minorHAnsi"/>
        </w:rPr>
      </w:pPr>
    </w:p>
    <w:p w14:paraId="4CB11EBB" w14:textId="19214772" w:rsidR="005E6E22" w:rsidRDefault="005E6E22" w:rsidP="005E6E22">
      <w:pPr>
        <w:spacing w:after="0" w:line="240" w:lineRule="auto"/>
        <w:rPr>
          <w:rFonts w:asciiTheme="minorHAnsi" w:hAnsiTheme="minorHAnsi"/>
        </w:rPr>
      </w:pPr>
      <w:r w:rsidRPr="005E6E22">
        <w:rPr>
          <w:rFonts w:asciiTheme="minorHAnsi" w:hAnsiTheme="minorHAnsi"/>
        </w:rPr>
        <w:t xml:space="preserve">Addressing the first issue, Judge Arrowood noted that first-degree murder includes any killing committed during the perpetration of any arson, rape or sex offense, robbery, kidnapping, burglary, or other felony committed or attempted with the use of a deadly weapon. G.S. </w:t>
      </w:r>
      <w:r w:rsidRPr="003254B1">
        <w:rPr>
          <w:rFonts w:asciiTheme="minorHAnsi" w:hAnsiTheme="minorHAnsi"/>
          <w:bCs w:val="0"/>
        </w:rPr>
        <w:t>14-17</w:t>
      </w:r>
      <w:r w:rsidRPr="005E6E22">
        <w:rPr>
          <w:rFonts w:asciiTheme="minorHAnsi" w:hAnsiTheme="minorHAnsi"/>
        </w:rPr>
        <w:t xml:space="preserve">. Judge Arrowood recognized that felony murder is committed when a killing results from a defendant’s commission of another felony with the use of a deadly weapon; he wrestled with whether the statute is satisfied when the other felony does not involve a defendant’s use but merely his possession of a firearm. Judge Arrowood concluded that possession of a firearm by a felon, albeit not categorically excluded, cannot support a conviction for felony murder “unless there is some other interrelated felony in which [the defendant] </w:t>
      </w:r>
      <w:r w:rsidRPr="005E6E22">
        <w:rPr>
          <w:rFonts w:asciiTheme="minorHAnsi" w:hAnsiTheme="minorHAnsi"/>
          <w:i/>
          <w:iCs/>
        </w:rPr>
        <w:t>uses</w:t>
      </w:r>
      <w:r w:rsidRPr="005E6E22">
        <w:rPr>
          <w:rFonts w:asciiTheme="minorHAnsi" w:hAnsiTheme="minorHAnsi"/>
        </w:rPr>
        <w:t xml:space="preserve"> the firearm.” Slip </w:t>
      </w:r>
      <w:proofErr w:type="gramStart"/>
      <w:r w:rsidRPr="005E6E22">
        <w:rPr>
          <w:rFonts w:asciiTheme="minorHAnsi" w:hAnsiTheme="minorHAnsi"/>
        </w:rPr>
        <w:t>Op. p</w:t>
      </w:r>
      <w:proofErr w:type="gramEnd"/>
      <w:r w:rsidRPr="005E6E22">
        <w:rPr>
          <w:rFonts w:asciiTheme="minorHAnsi" w:hAnsiTheme="minorHAnsi"/>
        </w:rPr>
        <w:t>. 11.</w:t>
      </w:r>
    </w:p>
    <w:p w14:paraId="2A8C31D7" w14:textId="77777777" w:rsidR="003254B1" w:rsidRPr="005E6E22" w:rsidRDefault="003254B1" w:rsidP="005E6E22">
      <w:pPr>
        <w:spacing w:after="0" w:line="240" w:lineRule="auto"/>
        <w:rPr>
          <w:rFonts w:asciiTheme="minorHAnsi" w:hAnsiTheme="minorHAnsi"/>
        </w:rPr>
      </w:pPr>
    </w:p>
    <w:p w14:paraId="41F4BA62" w14:textId="77777777" w:rsidR="005E6E22" w:rsidRDefault="005E6E22" w:rsidP="005E6E22">
      <w:pPr>
        <w:spacing w:after="0" w:line="240" w:lineRule="auto"/>
        <w:rPr>
          <w:rFonts w:asciiTheme="minorHAnsi" w:hAnsiTheme="minorHAnsi"/>
        </w:rPr>
      </w:pPr>
      <w:r w:rsidRPr="005E6E22">
        <w:rPr>
          <w:rFonts w:asciiTheme="minorHAnsi" w:hAnsiTheme="minorHAnsi"/>
        </w:rPr>
        <w:t xml:space="preserve">As to the second issue, Judge Arrowood noted that Defendant consented to certain admissions: (1) that he was a felon, (2) that he possessed a firearm, and (3) that he used the firearm causing the victim’s death. Judge Arrowood said the trial court accepted these admissions “without providing notice of or the opportunity to prepare for the consequences.” Slip Op. p. 17. The trial court then instructed the jury that Defendant was guilty of felony murder if it found (1) that defendant committed possession of a firearm by a felon, (2) that while committing that offense, the defendant killed the victim, and (3) that the defendant’s act was the proximate cause of death. Judge Arrowood said the instructions on felony murder “transformed” Defendant’s defense into an admission to every element, making conviction a foregone conclusion. Slip Op. p. 20. Judge Arrowood concluded that the trial court erred in its instructions “because Judge Ridgeway charged a novel felony murder charge </w:t>
      </w:r>
      <w:proofErr w:type="spellStart"/>
      <w:r w:rsidRPr="005E6E22">
        <w:rPr>
          <w:rFonts w:asciiTheme="minorHAnsi" w:hAnsiTheme="minorHAnsi"/>
        </w:rPr>
        <w:t>sua</w:t>
      </w:r>
      <w:proofErr w:type="spellEnd"/>
      <w:r w:rsidRPr="005E6E22">
        <w:rPr>
          <w:rFonts w:asciiTheme="minorHAnsi" w:hAnsiTheme="minorHAnsi"/>
        </w:rPr>
        <w:t xml:space="preserve"> sponte at the close of evidence, despite knowing, both from his earlier </w:t>
      </w:r>
      <w:r w:rsidRPr="005E6E22">
        <w:rPr>
          <w:rFonts w:asciiTheme="minorHAnsi" w:hAnsiTheme="minorHAnsi"/>
          <w:i/>
          <w:iCs/>
        </w:rPr>
        <w:t xml:space="preserve">Harbison </w:t>
      </w:r>
      <w:r w:rsidRPr="005E6E22">
        <w:rPr>
          <w:rFonts w:asciiTheme="minorHAnsi" w:hAnsiTheme="minorHAnsi"/>
        </w:rPr>
        <w:t>inquiries and the trial as a whole, that by substantially altering the bill of indictment in this way, he would blindside defendant.” Slip Op. p. 21. Finding that the instructions violated Defendant’s right to due process, the Court of Appeals awarded a new trial.</w:t>
      </w:r>
    </w:p>
    <w:p w14:paraId="40C2AB28" w14:textId="77777777" w:rsidR="003254B1" w:rsidRPr="005E6E22" w:rsidRDefault="003254B1" w:rsidP="005E6E22">
      <w:pPr>
        <w:spacing w:after="0" w:line="240" w:lineRule="auto"/>
        <w:rPr>
          <w:rFonts w:asciiTheme="minorHAnsi" w:hAnsiTheme="minorHAnsi"/>
        </w:rPr>
      </w:pPr>
    </w:p>
    <w:p w14:paraId="649F2242" w14:textId="77777777" w:rsidR="005E6E22" w:rsidRDefault="005E6E22" w:rsidP="005E6E22">
      <w:pPr>
        <w:spacing w:after="0" w:line="240" w:lineRule="auto"/>
        <w:rPr>
          <w:rFonts w:asciiTheme="minorHAnsi" w:hAnsiTheme="minorHAnsi"/>
        </w:rPr>
      </w:pPr>
      <w:r w:rsidRPr="005E6E22">
        <w:rPr>
          <w:rFonts w:asciiTheme="minorHAnsi" w:hAnsiTheme="minorHAnsi"/>
        </w:rPr>
        <w:t>Judge Stroud concurred in the result only, stating that the prejudicial error arose from the timing of the trial court’s announcement of its intent to instruct on felony murder and Defendant’s lack of opportunity to prepare for trial, not from any error of law in the jury instructions.</w:t>
      </w:r>
    </w:p>
    <w:p w14:paraId="20D48CEB" w14:textId="77777777" w:rsidR="003254B1" w:rsidRPr="005E6E22" w:rsidRDefault="003254B1" w:rsidP="005E6E22">
      <w:pPr>
        <w:spacing w:after="0" w:line="240" w:lineRule="auto"/>
        <w:rPr>
          <w:rFonts w:asciiTheme="minorHAnsi" w:hAnsiTheme="minorHAnsi"/>
        </w:rPr>
      </w:pPr>
    </w:p>
    <w:p w14:paraId="47F223F4" w14:textId="77777777" w:rsidR="005E6E22" w:rsidRPr="005E6E22" w:rsidRDefault="005E6E22" w:rsidP="005E6E22">
      <w:pPr>
        <w:spacing w:after="0" w:line="240" w:lineRule="auto"/>
        <w:rPr>
          <w:rFonts w:asciiTheme="minorHAnsi" w:hAnsiTheme="minorHAnsi"/>
        </w:rPr>
      </w:pPr>
      <w:r w:rsidRPr="005E6E22">
        <w:rPr>
          <w:rFonts w:asciiTheme="minorHAnsi" w:hAnsiTheme="minorHAnsi"/>
        </w:rPr>
        <w:t xml:space="preserve">Judge Tyson concurred in part and dissented in part. He agreed that possession of a firearm by a felon can serve as the predicate felony for felony murder. Judge Tyson would hold, however, that the trial court’s instructing the jury on felony murder did not violate Defendant’s right to due process. According to Judge Tyson, the plurality granted a new trial because (1) the trial court’s </w:t>
      </w:r>
      <w:r w:rsidRPr="005E6E22">
        <w:rPr>
          <w:rFonts w:asciiTheme="minorHAnsi" w:hAnsiTheme="minorHAnsi"/>
          <w:i/>
          <w:iCs/>
        </w:rPr>
        <w:t xml:space="preserve">Harbison </w:t>
      </w:r>
      <w:r w:rsidRPr="005E6E22">
        <w:rPr>
          <w:rFonts w:asciiTheme="minorHAnsi" w:hAnsiTheme="minorHAnsi"/>
        </w:rPr>
        <w:t xml:space="preserve">inquiry was inadequate, and (2) the trial court violated protections against ex post facto laws. As to the </w:t>
      </w:r>
      <w:r w:rsidRPr="005E6E22">
        <w:rPr>
          <w:rFonts w:asciiTheme="minorHAnsi" w:hAnsiTheme="minorHAnsi"/>
          <w:i/>
          <w:iCs/>
        </w:rPr>
        <w:t xml:space="preserve">Harbison </w:t>
      </w:r>
      <w:r w:rsidRPr="005E6E22">
        <w:rPr>
          <w:rFonts w:asciiTheme="minorHAnsi" w:hAnsiTheme="minorHAnsi"/>
        </w:rPr>
        <w:t>inquiry, Judge Tyson concluded that Defendant could not show prejudice from the stipulations and admissions to necessitate a new trial. As to the ex post facto issue, Judge Tyson concluded that the trial court merely applied straightforward statutes of long standing.</w:t>
      </w:r>
    </w:p>
    <w:p w14:paraId="6AF58006" w14:textId="77777777" w:rsidR="005E6E22" w:rsidRPr="005E6E22" w:rsidRDefault="005E6E22" w:rsidP="005E6E22">
      <w:pPr>
        <w:spacing w:after="0" w:line="240" w:lineRule="auto"/>
        <w:rPr>
          <w:rFonts w:asciiTheme="minorHAnsi" w:hAnsiTheme="minorHAnsi"/>
          <w:b/>
        </w:rPr>
      </w:pPr>
    </w:p>
    <w:p w14:paraId="37DB82CD" w14:textId="77777777" w:rsidR="005E6E22" w:rsidRPr="005E6E22" w:rsidRDefault="005E6E22" w:rsidP="005E6E22">
      <w:pPr>
        <w:spacing w:after="0" w:line="240" w:lineRule="auto"/>
        <w:rPr>
          <w:rFonts w:asciiTheme="minorHAnsi" w:hAnsiTheme="minorHAnsi"/>
          <w:b/>
        </w:rPr>
      </w:pPr>
    </w:p>
    <w:p w14:paraId="38C106A3" w14:textId="657C6E92" w:rsidR="00053656" w:rsidRPr="003254B1" w:rsidRDefault="003254B1" w:rsidP="003254B1">
      <w:pPr>
        <w:spacing w:after="0" w:line="240" w:lineRule="auto"/>
        <w:rPr>
          <w:rFonts w:asciiTheme="minorHAnsi" w:hAnsiTheme="minorHAnsi"/>
          <w:b/>
        </w:rPr>
      </w:pPr>
      <w:r w:rsidRPr="003254B1">
        <w:rPr>
          <w:rFonts w:asciiTheme="minorHAnsi" w:hAnsiTheme="minorHAnsi"/>
          <w:b/>
        </w:rPr>
        <w:t xml:space="preserve">(1) </w:t>
      </w:r>
      <w:r w:rsidR="00053656" w:rsidRPr="003254B1">
        <w:rPr>
          <w:rFonts w:asciiTheme="minorHAnsi" w:hAnsiTheme="minorHAnsi"/>
          <w:b/>
        </w:rPr>
        <w:t>The court was not required to instruct on second-degree murder based on voluntary intoxication absent evidence that the defendant was so intoxicated that he was incapable of deliberation and premeditation; (2) a lying in wait instruction is proper where the evidence showed the defendant positioned himself to make a surprise attack on an unsuspecting victim; (3) a flight instruction is supported by evidence that the defendant took steps to avoid apprehension after the crime.</w:t>
      </w:r>
    </w:p>
    <w:p w14:paraId="62B90D94" w14:textId="77777777" w:rsidR="003254B1" w:rsidRPr="003254B1" w:rsidRDefault="003254B1" w:rsidP="003254B1"/>
    <w:p w14:paraId="60287AD2" w14:textId="77777777" w:rsidR="00053656" w:rsidRDefault="00053656" w:rsidP="005E6E22">
      <w:pPr>
        <w:spacing w:after="0" w:line="240" w:lineRule="auto"/>
        <w:rPr>
          <w:rFonts w:asciiTheme="minorHAnsi" w:hAnsiTheme="minorHAnsi"/>
        </w:rPr>
      </w:pPr>
      <w:hyperlink r:id="rId20" w:history="1">
        <w:r w:rsidRPr="005E6E22">
          <w:rPr>
            <w:rStyle w:val="Hyperlink"/>
            <w:rFonts w:asciiTheme="minorHAnsi" w:hAnsiTheme="minorHAnsi"/>
            <w:b/>
          </w:rPr>
          <w:t>State v. Spencer</w:t>
        </w:r>
      </w:hyperlink>
      <w:r w:rsidRPr="005E6E22">
        <w:rPr>
          <w:rFonts w:asciiTheme="minorHAnsi" w:hAnsiTheme="minorHAnsi"/>
        </w:rPr>
        <w:t>, No. COA25-1063 (N.C. Ct. App. Sept. 2, 2026) (Collins). The defendant appealed his conviction for first-degree murder. The evidence showed that after his girlfriend was terminated from her employment at Big Lots, the defendant left her apartment shortly before closing time, approached employees in the parking lot while wearing a mask and hoodie, and fatally shot one employee. Multiple witnesses placed the defendant near the scene, and two fellow inmates testified that the defendant admitted committing the shooting, disposing of the weapon, changing clothes after the crime, and initially intending to “kill everybody” at the store. A jury found the defendant guilty of first-degree murder based on both premeditation and deliberation and lying in wait.</w:t>
      </w:r>
    </w:p>
    <w:p w14:paraId="7F4E2907" w14:textId="77777777" w:rsidR="003254B1" w:rsidRPr="005E6E22" w:rsidRDefault="003254B1" w:rsidP="005E6E22">
      <w:pPr>
        <w:spacing w:after="0" w:line="240" w:lineRule="auto"/>
        <w:rPr>
          <w:rFonts w:asciiTheme="minorHAnsi" w:hAnsiTheme="minorHAnsi"/>
        </w:rPr>
      </w:pPr>
    </w:p>
    <w:p w14:paraId="0BFCC1CE" w14:textId="77777777" w:rsidR="00053656" w:rsidRPr="005E6E22" w:rsidRDefault="00053656" w:rsidP="005E6E22">
      <w:pPr>
        <w:spacing w:after="0" w:line="240" w:lineRule="auto"/>
        <w:rPr>
          <w:rFonts w:asciiTheme="minorHAnsi" w:hAnsiTheme="minorHAnsi"/>
        </w:rPr>
      </w:pPr>
      <w:r w:rsidRPr="005E6E22">
        <w:rPr>
          <w:rFonts w:asciiTheme="minorHAnsi" w:hAnsiTheme="minorHAnsi"/>
        </w:rPr>
        <w:t>On appeal, the defendant first argued that the trial court plainly erred by failing to instruct the jury on second-degree murder based on evidence that he consumed alcohol and marijuana before the killing. The Court of Appeals rejected that argument, emphasizing that voluntary intoxication negates premeditation and deliberation only when the evidence shows the defendant was so completely intoxicated that he was incapable of forming a deliberate and premeditated intent to kill. The Court concluded that the evidence of intoxication was minimal and that the State’s evidence instead demonstrated planning and forethought. As a result, the trial court was not required to instruct on second-degree murder. The defendant next challenged the instruction on first-degree murder by lying in wait. The Court held that the instruction was supported by the evidence. The Court emphasized that lying in wait does not require literal concealment and may be established by evidence that a defendant positioned himself to make a private attack when the victim was unaware of his murderous purpose. Here, the evidence showed that the defendant was familiar with the store, knew when employees would be leaving for the night, waited until the parking lot was largely empty, and approached the victims after they exited the building. Finally, the Court rejected the defendant’s challenge to the flight instruction. Although the defendant openly returned to the apartment complex and later encountered law enforcement at a nearby store, the Court emphasized that flight includes not only leaving the scene but also taking steps to avoid apprehension. The evidence showed that the defendant misled his girlfriend about his whereabouts, changed clothing after the shooting, and disposed of the firearm. The Court found no error in the trial court’s jury instructions and upheld the defendant’s conviction for first-degree murder.</w:t>
      </w:r>
    </w:p>
    <w:p w14:paraId="0A0473B6" w14:textId="77777777" w:rsidR="00617CF3" w:rsidRPr="005E6E22" w:rsidRDefault="00617CF3" w:rsidP="005E6E22">
      <w:pPr>
        <w:spacing w:after="0" w:line="240" w:lineRule="auto"/>
        <w:rPr>
          <w:rFonts w:asciiTheme="minorHAnsi" w:hAnsiTheme="minorHAnsi" w:cs="Times New Roman"/>
        </w:rPr>
      </w:pPr>
    </w:p>
    <w:p w14:paraId="7D350C20" w14:textId="4C37B42A" w:rsidR="008C0E4C" w:rsidRPr="005E6E22" w:rsidRDefault="00B7437C" w:rsidP="005E6E22">
      <w:pPr>
        <w:pStyle w:val="Heading1"/>
        <w:spacing w:before="0" w:after="0" w:line="240" w:lineRule="auto"/>
        <w:rPr>
          <w:rFonts w:asciiTheme="minorHAnsi" w:hAnsiTheme="minorHAnsi"/>
          <w:sz w:val="28"/>
          <w:szCs w:val="28"/>
        </w:rPr>
      </w:pPr>
      <w:bookmarkStart w:id="14" w:name="_Toc242024776"/>
      <w:r w:rsidRPr="005E6E22">
        <w:rPr>
          <w:rFonts w:asciiTheme="minorHAnsi" w:hAnsiTheme="minorHAnsi"/>
          <w:sz w:val="28"/>
          <w:szCs w:val="28"/>
        </w:rPr>
        <w:t xml:space="preserve">Jury </w:t>
      </w:r>
      <w:r w:rsidR="008F5A4C" w:rsidRPr="005E6E22">
        <w:rPr>
          <w:rFonts w:asciiTheme="minorHAnsi" w:hAnsiTheme="minorHAnsi"/>
          <w:sz w:val="28"/>
          <w:szCs w:val="28"/>
        </w:rPr>
        <w:t>Deliberations</w:t>
      </w:r>
      <w:bookmarkEnd w:id="14"/>
      <w:r w:rsidRPr="005E6E22">
        <w:rPr>
          <w:rFonts w:asciiTheme="minorHAnsi" w:hAnsiTheme="minorHAnsi"/>
          <w:sz w:val="28"/>
          <w:szCs w:val="28"/>
        </w:rPr>
        <w:t xml:space="preserve"> </w:t>
      </w:r>
    </w:p>
    <w:p w14:paraId="2E893A0A" w14:textId="77777777" w:rsidR="002B3873" w:rsidRPr="00224B15" w:rsidRDefault="002B3873" w:rsidP="002B3873"/>
    <w:p w14:paraId="61846B2C" w14:textId="77777777" w:rsidR="002B3873" w:rsidRDefault="002B3873" w:rsidP="002B3873">
      <w:pPr>
        <w:spacing w:after="0" w:line="240" w:lineRule="auto"/>
        <w:rPr>
          <w:rFonts w:asciiTheme="minorHAnsi" w:hAnsiTheme="minorHAnsi"/>
          <w:b/>
        </w:rPr>
      </w:pPr>
      <w:r w:rsidRPr="005E6E22">
        <w:rPr>
          <w:rFonts w:asciiTheme="minorHAnsi" w:hAnsiTheme="minorHAnsi"/>
          <w:b/>
        </w:rPr>
        <w:t>So long as a trial judge follows G.S. 15A-1215(a) when replacing a juror during deliberations, there is no constitutional problem regardless of the exact timing of the replacement or the precise wording used in the court’s instructions to the jury about re-starting deliberations.</w:t>
      </w:r>
    </w:p>
    <w:p w14:paraId="30105326" w14:textId="77777777" w:rsidR="002B3873" w:rsidRPr="005E6E22" w:rsidRDefault="002B3873" w:rsidP="002B3873">
      <w:pPr>
        <w:spacing w:after="0" w:line="240" w:lineRule="auto"/>
        <w:rPr>
          <w:rFonts w:asciiTheme="minorHAnsi" w:hAnsiTheme="minorHAnsi"/>
        </w:rPr>
      </w:pPr>
    </w:p>
    <w:p w14:paraId="7D529C50" w14:textId="77777777" w:rsidR="002B3873" w:rsidRDefault="002B3873" w:rsidP="002B3873">
      <w:pPr>
        <w:spacing w:after="0" w:line="240" w:lineRule="auto"/>
        <w:rPr>
          <w:rFonts w:asciiTheme="minorHAnsi" w:hAnsiTheme="minorHAnsi"/>
        </w:rPr>
      </w:pPr>
      <w:hyperlink r:id="rId21" w:history="1">
        <w:r w:rsidRPr="005E6E22">
          <w:rPr>
            <w:rStyle w:val="Hyperlink"/>
            <w:rFonts w:asciiTheme="minorHAnsi" w:hAnsiTheme="minorHAnsi"/>
            <w:b/>
          </w:rPr>
          <w:t>State v. Thomas</w:t>
        </w:r>
      </w:hyperlink>
      <w:r w:rsidRPr="005E6E22">
        <w:rPr>
          <w:rFonts w:asciiTheme="minorHAnsi" w:hAnsiTheme="minorHAnsi"/>
        </w:rPr>
        <w:t xml:space="preserve">, No. 248PA24 (N.C. Aug. 14, 2026) (Wake Co.) (Dietz). Previously, alternate jurors could not become part of the jury after deliberations began. In 2021, the General Assembly amended </w:t>
      </w:r>
      <w:r w:rsidRPr="00201575">
        <w:rPr>
          <w:rFonts w:asciiTheme="minorHAnsi" w:hAnsiTheme="minorHAnsi"/>
          <w:bCs w:val="0"/>
        </w:rPr>
        <w:t>G.S. 15A-1215</w:t>
      </w:r>
      <w:r w:rsidRPr="005E6E22">
        <w:rPr>
          <w:rFonts w:asciiTheme="minorHAnsi" w:hAnsiTheme="minorHAnsi"/>
        </w:rPr>
        <w:t xml:space="preserve">(a) to allow alternate jurors to replace disqualified or discharged jurors even after deliberations have begun, with the proviso that the jury must be instructed to begin its deliberations anew. </w:t>
      </w:r>
      <w:r w:rsidRPr="00201575">
        <w:rPr>
          <w:rFonts w:asciiTheme="minorHAnsi" w:hAnsiTheme="minorHAnsi"/>
          <w:bCs w:val="0"/>
        </w:rPr>
        <w:t>S.L. 2021-94</w:t>
      </w:r>
      <w:r w:rsidRPr="005E6E22">
        <w:rPr>
          <w:rFonts w:asciiTheme="minorHAnsi" w:hAnsiTheme="minorHAnsi"/>
        </w:rPr>
        <w:t>.</w:t>
      </w:r>
    </w:p>
    <w:p w14:paraId="65439C27" w14:textId="77777777" w:rsidR="002B3873" w:rsidRPr="005E6E22" w:rsidRDefault="002B3873" w:rsidP="002B3873">
      <w:pPr>
        <w:spacing w:after="0" w:line="240" w:lineRule="auto"/>
        <w:rPr>
          <w:rFonts w:asciiTheme="minorHAnsi" w:hAnsiTheme="minorHAnsi"/>
        </w:rPr>
      </w:pPr>
    </w:p>
    <w:p w14:paraId="6DCA5E01" w14:textId="77777777" w:rsidR="002B3873" w:rsidRDefault="002B3873" w:rsidP="002B3873">
      <w:pPr>
        <w:spacing w:after="0" w:line="240" w:lineRule="auto"/>
        <w:rPr>
          <w:rFonts w:asciiTheme="minorHAnsi" w:hAnsiTheme="minorHAnsi"/>
        </w:rPr>
      </w:pPr>
      <w:r w:rsidRPr="005E6E22">
        <w:rPr>
          <w:rFonts w:asciiTheme="minorHAnsi" w:hAnsiTheme="minorHAnsi"/>
        </w:rPr>
        <w:t xml:space="preserve">In </w:t>
      </w:r>
      <w:r w:rsidRPr="00201575">
        <w:rPr>
          <w:rFonts w:asciiTheme="minorHAnsi" w:hAnsiTheme="minorHAnsi"/>
          <w:i/>
          <w:iCs/>
        </w:rPr>
        <w:t>State v. Chambers</w:t>
      </w:r>
      <w:r w:rsidRPr="005E6E22">
        <w:rPr>
          <w:rFonts w:asciiTheme="minorHAnsi" w:hAnsiTheme="minorHAnsi"/>
        </w:rPr>
        <w:t>, 387 N.C. 521 (2025), the state supreme court upheld the new procedure against the contention that it violated the constitutional requirement that a jury must be comprised of twelve people. Under the statute, no more than twelve members serve at any one time, and any influence of any departing juror is removed by the requirement that the jury begin deliberations again.</w:t>
      </w:r>
    </w:p>
    <w:p w14:paraId="07854467" w14:textId="77777777" w:rsidR="002B3873" w:rsidRPr="005E6E22" w:rsidRDefault="002B3873" w:rsidP="002B3873">
      <w:pPr>
        <w:spacing w:after="0" w:line="240" w:lineRule="auto"/>
        <w:rPr>
          <w:rFonts w:asciiTheme="minorHAnsi" w:hAnsiTheme="minorHAnsi"/>
        </w:rPr>
      </w:pPr>
    </w:p>
    <w:p w14:paraId="1E9DD699" w14:textId="77777777" w:rsidR="002B3873" w:rsidRDefault="002B3873" w:rsidP="002B3873">
      <w:pPr>
        <w:spacing w:after="0" w:line="240" w:lineRule="auto"/>
        <w:rPr>
          <w:rFonts w:asciiTheme="minorHAnsi" w:hAnsiTheme="minorHAnsi"/>
        </w:rPr>
      </w:pPr>
      <w:r w:rsidRPr="005E6E22">
        <w:rPr>
          <w:rFonts w:asciiTheme="minorHAnsi" w:hAnsiTheme="minorHAnsi"/>
        </w:rPr>
        <w:t xml:space="preserve">In this murder case, an alternate juror was substituted after deliberations began. The judge instructed the jury that it was “required to start the deliberations over.” The defendant contended that the replacement was unconstitutional and sought to distinguish Chambers by noting various differences: deliberations had gone on longer before substitution in his case than in </w:t>
      </w:r>
      <w:r w:rsidRPr="00201575">
        <w:rPr>
          <w:rFonts w:asciiTheme="minorHAnsi" w:hAnsiTheme="minorHAnsi"/>
          <w:i/>
          <w:iCs/>
        </w:rPr>
        <w:t>Chambers</w:t>
      </w:r>
      <w:r w:rsidRPr="005E6E22">
        <w:rPr>
          <w:rFonts w:asciiTheme="minorHAnsi" w:hAnsiTheme="minorHAnsi"/>
        </w:rPr>
        <w:t xml:space="preserve">; the judge in his case used different words to convey to the jury the requirement to start deliberations anew; and the judge instructed the jury at the end of a day rather than at the beginning of a day. The Supreme Court determined that these differences were inconsequential and generally rejected the idea that </w:t>
      </w:r>
      <w:r w:rsidRPr="00201575">
        <w:rPr>
          <w:rFonts w:asciiTheme="minorHAnsi" w:hAnsiTheme="minorHAnsi"/>
          <w:i/>
          <w:iCs/>
        </w:rPr>
        <w:t>Chambers</w:t>
      </w:r>
      <w:r w:rsidRPr="005E6E22">
        <w:rPr>
          <w:rFonts w:asciiTheme="minorHAnsi" w:hAnsiTheme="minorHAnsi"/>
        </w:rPr>
        <w:t xml:space="preserve"> invites a case-by-case inquiry into various details about the substitution. So long as the trial judge complies with G.S. 15A-1215(a), there is no constitutional problem.</w:t>
      </w:r>
    </w:p>
    <w:p w14:paraId="283E6162" w14:textId="77777777" w:rsidR="002B3873" w:rsidRPr="005E6E22" w:rsidRDefault="002B3873" w:rsidP="002B3873">
      <w:pPr>
        <w:spacing w:after="0" w:line="240" w:lineRule="auto"/>
        <w:rPr>
          <w:rFonts w:asciiTheme="minorHAnsi" w:hAnsiTheme="minorHAnsi"/>
        </w:rPr>
      </w:pPr>
    </w:p>
    <w:p w14:paraId="7C2AB01C" w14:textId="77777777" w:rsidR="002B3873" w:rsidRDefault="002B3873" w:rsidP="002B3873">
      <w:pPr>
        <w:spacing w:after="0" w:line="240" w:lineRule="auto"/>
        <w:rPr>
          <w:rFonts w:asciiTheme="minorHAnsi" w:hAnsiTheme="minorHAnsi"/>
        </w:rPr>
      </w:pPr>
      <w:r w:rsidRPr="005E6E22">
        <w:rPr>
          <w:rFonts w:asciiTheme="minorHAnsi" w:hAnsiTheme="minorHAnsi"/>
        </w:rPr>
        <w:t>The court ruled that the defendant’s other argument – concerning the denial of his motion to suppress ankle monitoring data about his location – was not preserved because he did not renew his objection to the evidence during trial.</w:t>
      </w:r>
    </w:p>
    <w:p w14:paraId="0CB31544" w14:textId="77777777" w:rsidR="002B3873" w:rsidRPr="005E6E22" w:rsidRDefault="002B3873" w:rsidP="002B3873">
      <w:pPr>
        <w:spacing w:after="0" w:line="240" w:lineRule="auto"/>
        <w:rPr>
          <w:rFonts w:asciiTheme="minorHAnsi" w:hAnsiTheme="minorHAnsi"/>
        </w:rPr>
      </w:pPr>
    </w:p>
    <w:p w14:paraId="4D43852E" w14:textId="77777777" w:rsidR="002B3873" w:rsidRDefault="002B3873" w:rsidP="002B3873">
      <w:pPr>
        <w:spacing w:after="0" w:line="240" w:lineRule="auto"/>
        <w:rPr>
          <w:rFonts w:asciiTheme="minorHAnsi" w:hAnsiTheme="minorHAnsi"/>
        </w:rPr>
      </w:pPr>
      <w:r w:rsidRPr="005E6E22">
        <w:rPr>
          <w:rFonts w:asciiTheme="minorHAnsi" w:hAnsiTheme="minorHAnsi"/>
        </w:rPr>
        <w:t xml:space="preserve">Justice Berger wrote separately to express his view that the Court of Appeals had wrongly followed its own decision in </w:t>
      </w:r>
      <w:r w:rsidRPr="005E6E22">
        <w:rPr>
          <w:rFonts w:asciiTheme="minorHAnsi" w:hAnsiTheme="minorHAnsi"/>
          <w:u w:val="single"/>
        </w:rPr>
        <w:t>Chambers</w:t>
      </w:r>
      <w:r w:rsidRPr="005E6E22">
        <w:rPr>
          <w:rFonts w:asciiTheme="minorHAnsi" w:hAnsiTheme="minorHAnsi"/>
        </w:rPr>
        <w:t xml:space="preserve"> when it decided this case, even though the Supreme Court has stayed that decision pending review, depriving the Court of </w:t>
      </w:r>
      <w:proofErr w:type="gramStart"/>
      <w:r w:rsidRPr="005E6E22">
        <w:rPr>
          <w:rFonts w:asciiTheme="minorHAnsi" w:hAnsiTheme="minorHAnsi"/>
        </w:rPr>
        <w:t>Appeals</w:t>
      </w:r>
      <w:proofErr w:type="gramEnd"/>
      <w:r w:rsidRPr="005E6E22">
        <w:rPr>
          <w:rFonts w:asciiTheme="minorHAnsi" w:hAnsiTheme="minorHAnsi"/>
        </w:rPr>
        <w:t xml:space="preserve"> decision of precedential weight.</w:t>
      </w:r>
    </w:p>
    <w:p w14:paraId="32590762" w14:textId="77777777" w:rsidR="002B3873" w:rsidRPr="005E6E22" w:rsidRDefault="002B3873" w:rsidP="002B3873">
      <w:pPr>
        <w:spacing w:after="0" w:line="240" w:lineRule="auto"/>
        <w:rPr>
          <w:rFonts w:asciiTheme="minorHAnsi" w:hAnsiTheme="minorHAnsi"/>
        </w:rPr>
      </w:pPr>
    </w:p>
    <w:p w14:paraId="46783EDB" w14:textId="481A5C11" w:rsidR="002B3873" w:rsidRPr="00B11471" w:rsidRDefault="002B3873" w:rsidP="005E6E22">
      <w:pPr>
        <w:spacing w:after="0" w:line="240" w:lineRule="auto"/>
        <w:rPr>
          <w:rFonts w:asciiTheme="minorHAnsi" w:hAnsiTheme="minorHAnsi"/>
        </w:rPr>
      </w:pPr>
      <w:r w:rsidRPr="005E6E22">
        <w:rPr>
          <w:rFonts w:asciiTheme="minorHAnsi" w:hAnsiTheme="minorHAnsi"/>
        </w:rPr>
        <w:t>Justice Earls, joined by Justice Riggs, dissented. She would have ruled that the trial judge failed to comply with G.S. 15A-1215(a). She viewed the judge’s instructions to the jury about beginning its deliberations anew as “tentative and confusing.”</w:t>
      </w:r>
    </w:p>
    <w:p w14:paraId="1C050198" w14:textId="77777777" w:rsidR="002B3873" w:rsidRDefault="002B3873" w:rsidP="005E6E22">
      <w:pPr>
        <w:spacing w:after="0" w:line="240" w:lineRule="auto"/>
        <w:rPr>
          <w:rFonts w:asciiTheme="minorHAnsi" w:hAnsiTheme="minorHAnsi"/>
          <w:b/>
        </w:rPr>
      </w:pPr>
    </w:p>
    <w:p w14:paraId="1D84FBF2" w14:textId="0E10226A" w:rsidR="00251A8A" w:rsidRDefault="00251A8A" w:rsidP="005E6E22">
      <w:pPr>
        <w:spacing w:after="0" w:line="240" w:lineRule="auto"/>
        <w:rPr>
          <w:rFonts w:asciiTheme="minorHAnsi" w:hAnsiTheme="minorHAnsi"/>
          <w:b/>
        </w:rPr>
      </w:pPr>
      <w:r w:rsidRPr="005E6E22">
        <w:rPr>
          <w:rFonts w:asciiTheme="minorHAnsi" w:hAnsiTheme="minorHAnsi"/>
          <w:b/>
        </w:rPr>
        <w:t>The presence of thirteen jurors in the jury room during deliberations constituted structural error and reversible error per se under Article I, Section 24 of the North Carolina Constitution and G.S. 15A</w:t>
      </w:r>
      <w:r w:rsidRPr="005E6E22">
        <w:rPr>
          <w:rFonts w:asciiTheme="minorHAnsi" w:hAnsiTheme="minorHAnsi"/>
          <w:b/>
        </w:rPr>
        <w:noBreakHyphen/>
        <w:t>1215(a).</w:t>
      </w:r>
    </w:p>
    <w:p w14:paraId="44F9BAC5" w14:textId="77777777" w:rsidR="003254B1" w:rsidRPr="005E6E22" w:rsidRDefault="003254B1" w:rsidP="005E6E22">
      <w:pPr>
        <w:spacing w:after="0" w:line="240" w:lineRule="auto"/>
        <w:rPr>
          <w:rFonts w:asciiTheme="minorHAnsi" w:hAnsiTheme="minorHAnsi"/>
        </w:rPr>
      </w:pPr>
    </w:p>
    <w:p w14:paraId="11C22A24" w14:textId="2DE7C20C" w:rsidR="00251A8A" w:rsidRDefault="00251A8A" w:rsidP="005E6E22">
      <w:pPr>
        <w:spacing w:after="0" w:line="240" w:lineRule="auto"/>
        <w:rPr>
          <w:rFonts w:asciiTheme="minorHAnsi" w:hAnsiTheme="minorHAnsi"/>
        </w:rPr>
      </w:pPr>
      <w:hyperlink r:id="rId22" w:history="1">
        <w:r w:rsidRPr="005E6E22">
          <w:rPr>
            <w:rStyle w:val="Hyperlink"/>
            <w:rFonts w:asciiTheme="minorHAnsi" w:hAnsiTheme="minorHAnsi"/>
            <w:b/>
          </w:rPr>
          <w:t>State v. Humphrey</w:t>
        </w:r>
      </w:hyperlink>
      <w:r w:rsidRPr="005E6E22">
        <w:rPr>
          <w:rFonts w:asciiTheme="minorHAnsi" w:hAnsiTheme="minorHAnsi"/>
        </w:rPr>
        <w:t>, No. COA25-1051 (N.C. Ct. App. Sept. 2, 2026) (Wood)</w:t>
      </w:r>
      <w:r w:rsidR="007677F8">
        <w:rPr>
          <w:rFonts w:asciiTheme="minorHAnsi" w:hAnsiTheme="minorHAnsi"/>
        </w:rPr>
        <w:t xml:space="preserve">, </w:t>
      </w:r>
      <w:r w:rsidR="007677F8" w:rsidRPr="007677F8">
        <w:rPr>
          <w:rFonts w:asciiTheme="minorHAnsi" w:hAnsiTheme="minorHAnsi"/>
          <w:i/>
          <w:iCs/>
        </w:rPr>
        <w:t xml:space="preserve">temp. stay </w:t>
      </w:r>
      <w:proofErr w:type="gramStart"/>
      <w:r w:rsidR="007677F8" w:rsidRPr="007677F8">
        <w:rPr>
          <w:rFonts w:asciiTheme="minorHAnsi" w:hAnsiTheme="minorHAnsi"/>
          <w:i/>
          <w:iCs/>
        </w:rPr>
        <w:t>allowed</w:t>
      </w:r>
      <w:r w:rsidR="007677F8">
        <w:rPr>
          <w:rFonts w:asciiTheme="minorHAnsi" w:hAnsiTheme="minorHAnsi"/>
        </w:rPr>
        <w:t>,</w:t>
      </w:r>
      <w:proofErr w:type="gramEnd"/>
      <w:r w:rsidR="007677F8">
        <w:rPr>
          <w:rFonts w:asciiTheme="minorHAnsi" w:hAnsiTheme="minorHAnsi"/>
        </w:rPr>
        <w:t xml:space="preserve"> ___ N.C. ___ (Sept. 22, 2026)</w:t>
      </w:r>
      <w:r w:rsidRPr="005E6E22">
        <w:rPr>
          <w:rFonts w:asciiTheme="minorHAnsi" w:hAnsiTheme="minorHAnsi"/>
        </w:rPr>
        <w:t>. The defendant was convicted of death by distribution of a controlled substance arising from the sale of fentanyl and cocaine. Following the close of evidence and jury instructions, the trial court inadvertently sent all twelve jurors and one alternate juror to the jury room. The thirteen jurors remained together for approximately nineteen minutes, selected a foreperson, and began deliberations before the error was discovered. The trial court then removed the alternate juror, instructed the remaining jurors to restart their deliberations, and the jury later returned a guilty verdict. The defendant appealed.</w:t>
      </w:r>
    </w:p>
    <w:p w14:paraId="122D9B5E" w14:textId="77777777" w:rsidR="003254B1" w:rsidRPr="005E6E22" w:rsidRDefault="003254B1" w:rsidP="005E6E22">
      <w:pPr>
        <w:spacing w:after="0" w:line="240" w:lineRule="auto"/>
        <w:rPr>
          <w:rFonts w:asciiTheme="minorHAnsi" w:hAnsiTheme="minorHAnsi"/>
        </w:rPr>
      </w:pPr>
    </w:p>
    <w:p w14:paraId="60D75588" w14:textId="77777777" w:rsidR="00251A8A" w:rsidRPr="005E6E22" w:rsidRDefault="00251A8A" w:rsidP="005E6E22">
      <w:pPr>
        <w:spacing w:after="0" w:line="240" w:lineRule="auto"/>
        <w:rPr>
          <w:rFonts w:asciiTheme="minorHAnsi" w:hAnsiTheme="minorHAnsi"/>
        </w:rPr>
      </w:pPr>
      <w:r w:rsidRPr="005E6E22">
        <w:rPr>
          <w:rFonts w:asciiTheme="minorHAnsi" w:hAnsiTheme="minorHAnsi"/>
        </w:rPr>
        <w:t>The Court concluded that the trial court committed reversible error by permitting thirteen jurors to participate in deliberations. The Court explained that both the North Carolina Constitution and G.S. 15A</w:t>
      </w:r>
      <w:r w:rsidRPr="005E6E22">
        <w:rPr>
          <w:rFonts w:asciiTheme="minorHAnsi" w:hAnsiTheme="minorHAnsi"/>
        </w:rPr>
        <w:noBreakHyphen/>
        <w:t xml:space="preserve">1215(a) require that no more than twelve jurors participate in jury deliberations. The Court distinguished the North Carolina Supreme Court’s decision in </w:t>
      </w:r>
      <w:r w:rsidRPr="005E6E22">
        <w:rPr>
          <w:rFonts w:asciiTheme="minorHAnsi" w:hAnsiTheme="minorHAnsi"/>
          <w:i/>
          <w:iCs/>
        </w:rPr>
        <w:t>State v. Chambers</w:t>
      </w:r>
      <w:r w:rsidRPr="005E6E22">
        <w:rPr>
          <w:rFonts w:asciiTheme="minorHAnsi" w:hAnsiTheme="minorHAnsi"/>
        </w:rPr>
        <w:t xml:space="preserve">, 387 N.C. 521 (2025), which upheld substitution procedures in part because the statute expressly provides that “in no event shall more than twelve jurors participate in the jury’s deliberations.” Here, by contrast, thirteen jurors </w:t>
      </w:r>
      <w:proofErr w:type="gramStart"/>
      <w:r w:rsidRPr="005E6E22">
        <w:rPr>
          <w:rFonts w:asciiTheme="minorHAnsi" w:hAnsiTheme="minorHAnsi"/>
        </w:rPr>
        <w:t>actually deliberated</w:t>
      </w:r>
      <w:proofErr w:type="gramEnd"/>
      <w:r w:rsidRPr="005E6E22">
        <w:rPr>
          <w:rFonts w:asciiTheme="minorHAnsi" w:hAnsiTheme="minorHAnsi"/>
        </w:rPr>
        <w:t xml:space="preserve"> together before the error was discovered. The Court further noted that the thirteen-member jury deliberated for nineteen minutes before the alternate was removed and that the jury reached its verdict after only seventeen additional minutes of deliberation. The Court also concluded that the trial court’s instruction was not an unequivocal directive to restart deliberations because jurors were told to await further instructions that might require them either to “continue” or “begin” deliberations. Under these circumstances, the Court held the constitutional and statutory violation was not cured. The Court reversed the defendant’s conviction and </w:t>
      </w:r>
      <w:proofErr w:type="gramStart"/>
      <w:r w:rsidRPr="005E6E22">
        <w:rPr>
          <w:rFonts w:asciiTheme="minorHAnsi" w:hAnsiTheme="minorHAnsi"/>
        </w:rPr>
        <w:t>remanded</w:t>
      </w:r>
      <w:proofErr w:type="gramEnd"/>
      <w:r w:rsidRPr="005E6E22">
        <w:rPr>
          <w:rFonts w:asciiTheme="minorHAnsi" w:hAnsiTheme="minorHAnsi"/>
        </w:rPr>
        <w:t xml:space="preserve"> for a new trial. Having ordered a new trial, the Court declined to address the defendant’s additional challenge to the calculation of prior record level points.</w:t>
      </w:r>
    </w:p>
    <w:p w14:paraId="520EFBD7" w14:textId="77777777" w:rsidR="00B7437C" w:rsidRPr="005E6E22" w:rsidRDefault="00B7437C" w:rsidP="005E6E22">
      <w:pPr>
        <w:spacing w:after="0" w:line="240" w:lineRule="auto"/>
        <w:rPr>
          <w:rFonts w:asciiTheme="minorHAnsi" w:hAnsiTheme="minorHAnsi" w:cs="Times New Roman"/>
        </w:rPr>
      </w:pPr>
    </w:p>
    <w:p w14:paraId="5BB7BADD" w14:textId="77777777" w:rsidR="00280F8B" w:rsidRDefault="00280F8B" w:rsidP="005E6E22">
      <w:pPr>
        <w:pStyle w:val="Heading1"/>
        <w:spacing w:before="0" w:after="0" w:line="240" w:lineRule="auto"/>
        <w:rPr>
          <w:rFonts w:asciiTheme="minorHAnsi" w:hAnsiTheme="minorHAnsi"/>
          <w:sz w:val="28"/>
          <w:szCs w:val="28"/>
        </w:rPr>
      </w:pPr>
      <w:bookmarkStart w:id="15" w:name="_Toc242024777"/>
      <w:r w:rsidRPr="005E6E22">
        <w:rPr>
          <w:rFonts w:asciiTheme="minorHAnsi" w:hAnsiTheme="minorHAnsi"/>
          <w:sz w:val="28"/>
          <w:szCs w:val="28"/>
        </w:rPr>
        <w:t>Sentencing</w:t>
      </w:r>
      <w:bookmarkEnd w:id="15"/>
    </w:p>
    <w:p w14:paraId="66CBEEAA" w14:textId="77777777" w:rsidR="003254B1" w:rsidRPr="003254B1" w:rsidRDefault="003254B1" w:rsidP="003254B1"/>
    <w:p w14:paraId="07C33AF0" w14:textId="77777777" w:rsidR="009268B9" w:rsidRDefault="009268B9" w:rsidP="005E6E22">
      <w:pPr>
        <w:spacing w:after="0" w:line="240" w:lineRule="auto"/>
        <w:rPr>
          <w:rFonts w:asciiTheme="minorHAnsi" w:hAnsiTheme="minorHAnsi"/>
          <w:b/>
        </w:rPr>
      </w:pPr>
      <w:r w:rsidRPr="005E6E22">
        <w:rPr>
          <w:rFonts w:asciiTheme="minorHAnsi" w:hAnsiTheme="minorHAnsi"/>
          <w:b/>
        </w:rPr>
        <w:t>Trial court did not err by failing to intervene in prosecutor’s closing argument; trial court did not err by declining to instruct on assault inflicting serious injury as a lesser included offense of assault with a deadly weapon with intent to kill inflicting serious injury; trial court erred by sentencing for both assault with a deadly weapon with intent to kill inflicting serious injury and assault inflicting serious bodily injury based on the same conduct.</w:t>
      </w:r>
    </w:p>
    <w:p w14:paraId="0212C348" w14:textId="77777777" w:rsidR="003254B1" w:rsidRPr="005E6E22" w:rsidRDefault="003254B1" w:rsidP="005E6E22">
      <w:pPr>
        <w:spacing w:after="0" w:line="240" w:lineRule="auto"/>
        <w:rPr>
          <w:rFonts w:asciiTheme="minorHAnsi" w:hAnsiTheme="minorHAnsi"/>
        </w:rPr>
      </w:pPr>
    </w:p>
    <w:p w14:paraId="67B8B791" w14:textId="4C4E8664" w:rsidR="009268B9" w:rsidRDefault="009268B9" w:rsidP="005E6E22">
      <w:pPr>
        <w:spacing w:after="0" w:line="240" w:lineRule="auto"/>
        <w:rPr>
          <w:rFonts w:asciiTheme="minorHAnsi" w:hAnsiTheme="minorHAnsi"/>
        </w:rPr>
      </w:pPr>
      <w:hyperlink r:id="rId23" w:history="1">
        <w:r w:rsidRPr="005E6E22">
          <w:rPr>
            <w:rStyle w:val="Hyperlink"/>
            <w:rFonts w:asciiTheme="minorHAnsi" w:hAnsiTheme="minorHAnsi"/>
            <w:b/>
          </w:rPr>
          <w:t>State v. Broadway</w:t>
        </w:r>
      </w:hyperlink>
      <w:r w:rsidRPr="005E6E22">
        <w:rPr>
          <w:rFonts w:asciiTheme="minorHAnsi" w:hAnsiTheme="minorHAnsi"/>
        </w:rPr>
        <w:t>, No. COA25-1159 (N.C. Ct. App. July 1, 2026) (Mecklenburg Co</w:t>
      </w:r>
      <w:r w:rsidR="00CE0EF3">
        <w:rPr>
          <w:rFonts w:asciiTheme="minorHAnsi" w:hAnsiTheme="minorHAnsi"/>
        </w:rPr>
        <w:t>.) (Collins)</w:t>
      </w:r>
      <w:r w:rsidR="009B04A3">
        <w:rPr>
          <w:rFonts w:asciiTheme="minorHAnsi" w:hAnsiTheme="minorHAnsi"/>
        </w:rPr>
        <w:t>.</w:t>
      </w:r>
      <w:r w:rsidRPr="005E6E22">
        <w:rPr>
          <w:rFonts w:asciiTheme="minorHAnsi" w:hAnsiTheme="minorHAnsi"/>
        </w:rPr>
        <w:t xml:space="preserve"> Defendant and his girlfriend Shayla Prioleau lived together in her Charlotte townhouse. On the evening of December 29, 2020, Defendant attacked Prioleau, strangling her until she lost consciousness. Prioleau sustained serious injuries, including a broken cheekbone, multiple lacerations to the head, and bilateral carotid artery dissections. During a search of the townhouse, police found a rifle against the bathroom wall with blood on it. Defendant was arrested on December 31, 2020, and charged with attempted murder, assault with a deadly weapon with intent to kill inflicting serious injury, assault inflicting serious bodily injury, and assault inflicting serious injury by strangulation.</w:t>
      </w:r>
    </w:p>
    <w:p w14:paraId="552F8B21" w14:textId="77777777" w:rsidR="00CE0EF3" w:rsidRPr="005E6E22" w:rsidRDefault="00CE0EF3" w:rsidP="005E6E22">
      <w:pPr>
        <w:spacing w:after="0" w:line="240" w:lineRule="auto"/>
        <w:rPr>
          <w:rFonts w:asciiTheme="minorHAnsi" w:hAnsiTheme="minorHAnsi"/>
        </w:rPr>
      </w:pPr>
    </w:p>
    <w:p w14:paraId="3467203A" w14:textId="77777777" w:rsidR="009268B9" w:rsidRDefault="009268B9" w:rsidP="005E6E22">
      <w:pPr>
        <w:spacing w:after="0" w:line="240" w:lineRule="auto"/>
        <w:rPr>
          <w:rFonts w:asciiTheme="minorHAnsi" w:hAnsiTheme="minorHAnsi"/>
        </w:rPr>
      </w:pPr>
      <w:r w:rsidRPr="005E6E22">
        <w:rPr>
          <w:rFonts w:asciiTheme="minorHAnsi" w:hAnsiTheme="minorHAnsi"/>
        </w:rPr>
        <w:t>The matter came on for trial by jury. During the State’s closing argument, the prosecutor set a timer and held her breath to show the time it takes for respiration to cease during strangulation. She also stated that Defendant beat Prioleau with a rifle while she was unconscious. During the charge conference, Defendant requested an instruction on assault inflicting serious injury as a lesser included offense of assault with a deadly weapon with intent to kill inflicting serious injury and assault inflicting serious bodily injury, but the trial court gave the requested instruction only as to assault inflicting serious bodily injury. Defendant was convicted as charged. The trial court arrested judgment on the conviction for assault inflicting serious injury by strangulation, and it entered consecutive judgments for attempted murder, assault with a deadly weapon with intent to kill inflicting serious injury, and assault inflicting serious bodily injury. Defendant appealed.</w:t>
      </w:r>
    </w:p>
    <w:p w14:paraId="44C143CF" w14:textId="77777777" w:rsidR="00CE0EF3" w:rsidRPr="005E6E22" w:rsidRDefault="00CE0EF3" w:rsidP="005E6E22">
      <w:pPr>
        <w:spacing w:after="0" w:line="240" w:lineRule="auto"/>
        <w:rPr>
          <w:rFonts w:asciiTheme="minorHAnsi" w:hAnsiTheme="minorHAnsi"/>
        </w:rPr>
      </w:pPr>
    </w:p>
    <w:p w14:paraId="734C0FC8" w14:textId="77777777" w:rsidR="009268B9" w:rsidRDefault="009268B9" w:rsidP="005E6E22">
      <w:pPr>
        <w:spacing w:after="0" w:line="240" w:lineRule="auto"/>
        <w:rPr>
          <w:rFonts w:asciiTheme="minorHAnsi" w:hAnsiTheme="minorHAnsi"/>
        </w:rPr>
      </w:pPr>
      <w:r w:rsidRPr="005E6E22">
        <w:rPr>
          <w:rFonts w:asciiTheme="minorHAnsi" w:hAnsiTheme="minorHAnsi"/>
        </w:rPr>
        <w:t>Preliminarily, the Court of Appeals denied the State’s Rule 9(b)(5) motion to supplement the record to alter the certified transcript’s description of a demonstration that occurred during the prosecutor’s closing argument, explaining that the time for objections to the transcript had passed.</w:t>
      </w:r>
    </w:p>
    <w:p w14:paraId="259A604E" w14:textId="77777777" w:rsidR="00CE0EF3" w:rsidRPr="005E6E22" w:rsidRDefault="00CE0EF3" w:rsidP="005E6E22">
      <w:pPr>
        <w:spacing w:after="0" w:line="240" w:lineRule="auto"/>
        <w:rPr>
          <w:rFonts w:asciiTheme="minorHAnsi" w:hAnsiTheme="minorHAnsi"/>
        </w:rPr>
      </w:pPr>
    </w:p>
    <w:p w14:paraId="48066D22" w14:textId="77777777" w:rsidR="009268B9" w:rsidRDefault="009268B9" w:rsidP="005E6E22">
      <w:pPr>
        <w:spacing w:after="0" w:line="240" w:lineRule="auto"/>
        <w:rPr>
          <w:rFonts w:asciiTheme="minorHAnsi" w:hAnsiTheme="minorHAnsi"/>
        </w:rPr>
      </w:pPr>
      <w:r w:rsidRPr="005E6E22">
        <w:rPr>
          <w:rFonts w:asciiTheme="minorHAnsi" w:hAnsiTheme="minorHAnsi"/>
        </w:rPr>
        <w:t>Before the Court of Appeals, Defendant argued the trial court erred by: (1) failing to intervene in the prosecutor’s closing argument, (2) declining to instruct the jury on assault inflicting serious injury as a lesser included offense of assault with a deadly weapon with intent to kill inflicting serious injury, and (3) sentencing him for both assault with a deadly weapon with intent to kill inflicting serious injury and assault inflicting serious bodily injury based on the same conduct.</w:t>
      </w:r>
    </w:p>
    <w:p w14:paraId="33D77151" w14:textId="77777777" w:rsidR="00CE0EF3" w:rsidRPr="005E6E22" w:rsidRDefault="00CE0EF3" w:rsidP="005E6E22">
      <w:pPr>
        <w:spacing w:after="0" w:line="240" w:lineRule="auto"/>
        <w:rPr>
          <w:rFonts w:asciiTheme="minorHAnsi" w:hAnsiTheme="minorHAnsi"/>
        </w:rPr>
      </w:pPr>
    </w:p>
    <w:p w14:paraId="39958665" w14:textId="77777777" w:rsidR="009268B9" w:rsidRDefault="009268B9" w:rsidP="005E6E22">
      <w:pPr>
        <w:spacing w:after="0" w:line="240" w:lineRule="auto"/>
        <w:rPr>
          <w:rFonts w:asciiTheme="minorHAnsi" w:hAnsiTheme="minorHAnsi"/>
        </w:rPr>
      </w:pPr>
      <w:r w:rsidRPr="005E6E22">
        <w:rPr>
          <w:rFonts w:asciiTheme="minorHAnsi" w:hAnsiTheme="minorHAnsi"/>
        </w:rPr>
        <w:t xml:space="preserve">Defendant first argued the trial court erred by failing to intervene in the State’s closing argument. As Defendant failed to object, the Court of Appeals reviewed for gross impropriety. Addressing an argument that the prosecutor’s demonstration of the time it takes for respiration to cease during strangulation was inflammatory, the Court of Appeals found that the demonstration tracked the evidence and was tied to the issue of premeditation and deliberation. Addressing an argument that the prosecutor’s statement that Defendant beat Prioleau after she lost consciousness was not based on record evidence, the Court of Appeals found that the argument was supported by reasonable inference from the evidence. As for the argument that it was improper for the prosecutor to describe the facts and holdings of three other cases, the Court of Appeals found the statements improper, but given the overwhelming evidence of Defendant’s guilt and the brevity of the statements in context, the Court of Appeals did not find the statements so infected the trial with unfairness as to render the conviction fundamentally unfair. In sum, the Court of Appeals concluded the trial court did not reversibly err by failing to </w:t>
      </w:r>
      <w:proofErr w:type="gramStart"/>
      <w:r w:rsidRPr="005E6E22">
        <w:rPr>
          <w:rFonts w:asciiTheme="minorHAnsi" w:hAnsiTheme="minorHAnsi"/>
        </w:rPr>
        <w:t xml:space="preserve">intervene ex </w:t>
      </w:r>
      <w:proofErr w:type="spellStart"/>
      <w:r w:rsidRPr="005E6E22">
        <w:rPr>
          <w:rFonts w:asciiTheme="minorHAnsi" w:hAnsiTheme="minorHAnsi"/>
        </w:rPr>
        <w:t>mero</w:t>
      </w:r>
      <w:proofErr w:type="spellEnd"/>
      <w:r w:rsidRPr="005E6E22">
        <w:rPr>
          <w:rFonts w:asciiTheme="minorHAnsi" w:hAnsiTheme="minorHAnsi"/>
        </w:rPr>
        <w:t xml:space="preserve"> motu</w:t>
      </w:r>
      <w:proofErr w:type="gramEnd"/>
      <w:r w:rsidRPr="005E6E22">
        <w:rPr>
          <w:rFonts w:asciiTheme="minorHAnsi" w:hAnsiTheme="minorHAnsi"/>
        </w:rPr>
        <w:t xml:space="preserve"> in the prosecutor’s closing argument.</w:t>
      </w:r>
    </w:p>
    <w:p w14:paraId="3A36A569" w14:textId="77777777" w:rsidR="00CE0EF3" w:rsidRPr="005E6E22" w:rsidRDefault="00CE0EF3" w:rsidP="005E6E22">
      <w:pPr>
        <w:spacing w:after="0" w:line="240" w:lineRule="auto"/>
        <w:rPr>
          <w:rFonts w:asciiTheme="minorHAnsi" w:hAnsiTheme="minorHAnsi"/>
        </w:rPr>
      </w:pPr>
    </w:p>
    <w:p w14:paraId="3851B0C0" w14:textId="77777777" w:rsidR="009268B9" w:rsidRDefault="009268B9" w:rsidP="005E6E22">
      <w:pPr>
        <w:spacing w:after="0" w:line="240" w:lineRule="auto"/>
        <w:rPr>
          <w:rFonts w:asciiTheme="minorHAnsi" w:hAnsiTheme="minorHAnsi"/>
        </w:rPr>
      </w:pPr>
      <w:r w:rsidRPr="005E6E22">
        <w:rPr>
          <w:rFonts w:asciiTheme="minorHAnsi" w:hAnsiTheme="minorHAnsi"/>
        </w:rPr>
        <w:t>Defendant next argued the trial court erred by declining to instruct on assault inflicting serious injury as a lesser included offense of assault with a deadly weapon with intent to kill inflicting serious injury. The Court of Appeals posited that the trial court must instruct on assault inflicting serious injury as a lesser included offense of assault with a deadly weapon with intent to kill inflicting serious injury if evidence of the defendant’s use of a deadly weapon – and hands may constitute a deadly weapon – is contested. Here, the Court of Appeals found Defendant’s manual strangulation of the victim caused substantial injury. It concluded the State’s evidence was positive and uncontradicted, and the trial court did not err by failing to instruct on the lesser included offense.</w:t>
      </w:r>
    </w:p>
    <w:p w14:paraId="5990CD0C" w14:textId="77777777" w:rsidR="00CE0EF3" w:rsidRPr="005E6E22" w:rsidRDefault="00CE0EF3" w:rsidP="005E6E22">
      <w:pPr>
        <w:spacing w:after="0" w:line="240" w:lineRule="auto"/>
        <w:rPr>
          <w:rFonts w:asciiTheme="minorHAnsi" w:hAnsiTheme="minorHAnsi"/>
        </w:rPr>
      </w:pPr>
    </w:p>
    <w:p w14:paraId="30F68A58" w14:textId="49F4EF1D" w:rsidR="009268B9" w:rsidRDefault="009268B9" w:rsidP="005E6E22">
      <w:pPr>
        <w:spacing w:after="0" w:line="240" w:lineRule="auto"/>
        <w:rPr>
          <w:rFonts w:asciiTheme="minorHAnsi" w:hAnsiTheme="minorHAnsi"/>
        </w:rPr>
      </w:pPr>
      <w:r w:rsidRPr="005E6E22">
        <w:rPr>
          <w:rFonts w:asciiTheme="minorHAnsi" w:hAnsiTheme="minorHAnsi"/>
        </w:rPr>
        <w:t xml:space="preserve">Defendant next argued the trial court erred by sentencing him for both assault with a deadly weapon with intent to kill inflicting serious injury and assault inflicting serious bodily injury based on the same conduct. Assault inflicting serious bodily injury is a Class F felony unless the conduct is covered under </w:t>
      </w:r>
      <w:r w:rsidRPr="00CE0EF3">
        <w:rPr>
          <w:rFonts w:asciiTheme="minorHAnsi" w:hAnsiTheme="minorHAnsi"/>
          <w:bCs w:val="0"/>
        </w:rPr>
        <w:t>some other provision of law</w:t>
      </w:r>
      <w:r w:rsidRPr="005E6E22">
        <w:rPr>
          <w:rFonts w:asciiTheme="minorHAnsi" w:hAnsiTheme="minorHAnsi"/>
        </w:rPr>
        <w:t xml:space="preserve"> providing greater punishment. G.S. 14-32.4. The Court of Appeals said that, because G.S. 14-32.4 indicates clear legislative intent that a defendant may not be convicted of assault inflicting serious bodily injury if the conduct is covered under some other provision of law providing greater punishment, assault inflicting serious bodily injury “merges with” assault with a deadly weapon with intent to kill inflicting serious injury “under the double jeopardy clause.” It rejected the State’s argument that the two convictions arose from two separate assaults, finding insufficient evidence of a distinct interruption. It concluded Defendant could not be punished for both assault inflicting serious bodily injury and assault with a deadly weapon with intent to kill inflicting serious injury. The Court of Appeals arrested judgment on the conviction for assault inflicting serious bodily injury and remanded for resentencing.</w:t>
      </w:r>
    </w:p>
    <w:p w14:paraId="00BD2998" w14:textId="77777777" w:rsidR="00CE0EF3" w:rsidRPr="005E6E22" w:rsidRDefault="00CE0EF3" w:rsidP="005E6E22">
      <w:pPr>
        <w:spacing w:after="0" w:line="240" w:lineRule="auto"/>
        <w:rPr>
          <w:rFonts w:asciiTheme="minorHAnsi" w:hAnsiTheme="minorHAnsi"/>
        </w:rPr>
      </w:pPr>
    </w:p>
    <w:p w14:paraId="2CCB00F2" w14:textId="77777777" w:rsidR="00B04D90" w:rsidRPr="005E6E22" w:rsidRDefault="00B04D90" w:rsidP="005E6E22">
      <w:pPr>
        <w:spacing w:after="0" w:line="240" w:lineRule="auto"/>
        <w:rPr>
          <w:rFonts w:asciiTheme="minorHAnsi" w:hAnsiTheme="minorHAnsi" w:cs="Times New Roman"/>
          <w:b/>
        </w:rPr>
      </w:pPr>
    </w:p>
    <w:p w14:paraId="40BB0214" w14:textId="48502BFF" w:rsidR="00980CF9" w:rsidRDefault="00980CF9" w:rsidP="005E6E22">
      <w:pPr>
        <w:pStyle w:val="Heading1"/>
        <w:spacing w:before="0" w:after="0" w:line="240" w:lineRule="auto"/>
        <w:rPr>
          <w:rFonts w:asciiTheme="minorHAnsi" w:hAnsiTheme="minorHAnsi"/>
          <w:sz w:val="28"/>
          <w:szCs w:val="28"/>
        </w:rPr>
      </w:pPr>
      <w:bookmarkStart w:id="16" w:name="_Toc242024778"/>
      <w:r w:rsidRPr="005E6E22">
        <w:rPr>
          <w:rFonts w:asciiTheme="minorHAnsi" w:hAnsiTheme="minorHAnsi"/>
          <w:sz w:val="28"/>
          <w:szCs w:val="28"/>
        </w:rPr>
        <w:t>Sex Offender Registration</w:t>
      </w:r>
      <w:bookmarkEnd w:id="16"/>
    </w:p>
    <w:p w14:paraId="324A1F6A" w14:textId="77777777" w:rsidR="00CE0EF3" w:rsidRPr="00CE0EF3" w:rsidRDefault="00CE0EF3" w:rsidP="00CE0EF3"/>
    <w:p w14:paraId="512DB2F6" w14:textId="77777777" w:rsidR="002B6F3F" w:rsidRDefault="002B6F3F" w:rsidP="005E6E22">
      <w:pPr>
        <w:spacing w:after="0" w:line="240" w:lineRule="auto"/>
        <w:rPr>
          <w:rFonts w:asciiTheme="minorHAnsi" w:hAnsiTheme="minorHAnsi"/>
          <w:b/>
        </w:rPr>
      </w:pPr>
      <w:r w:rsidRPr="005E6E22">
        <w:rPr>
          <w:rFonts w:asciiTheme="minorHAnsi" w:hAnsiTheme="minorHAnsi"/>
          <w:b/>
        </w:rPr>
        <w:t xml:space="preserve">When a registered sex offender petitions for removal from the registry, the petition is denied as premature under SORNA, and the registrant does not appeal, the law of the case bars future petitions until the pertinent SORNA </w:t>
      </w:r>
      <w:proofErr w:type="gramStart"/>
      <w:r w:rsidRPr="005E6E22">
        <w:rPr>
          <w:rFonts w:asciiTheme="minorHAnsi" w:hAnsiTheme="minorHAnsi"/>
          <w:b/>
        </w:rPr>
        <w:t>time period</w:t>
      </w:r>
      <w:proofErr w:type="gramEnd"/>
      <w:r w:rsidRPr="005E6E22">
        <w:rPr>
          <w:rFonts w:asciiTheme="minorHAnsi" w:hAnsiTheme="minorHAnsi"/>
          <w:b/>
        </w:rPr>
        <w:t xml:space="preserve"> has run.</w:t>
      </w:r>
    </w:p>
    <w:p w14:paraId="0B7FADED" w14:textId="77777777" w:rsidR="00CE0EF3" w:rsidRPr="005E6E22" w:rsidRDefault="00CE0EF3" w:rsidP="005E6E22">
      <w:pPr>
        <w:spacing w:after="0" w:line="240" w:lineRule="auto"/>
        <w:rPr>
          <w:rFonts w:asciiTheme="minorHAnsi" w:hAnsiTheme="minorHAnsi"/>
        </w:rPr>
      </w:pPr>
    </w:p>
    <w:p w14:paraId="61376420" w14:textId="77777777" w:rsidR="002B6F3F" w:rsidRPr="005E6E22" w:rsidRDefault="002B6F3F" w:rsidP="005E6E22">
      <w:pPr>
        <w:spacing w:after="0" w:line="240" w:lineRule="auto"/>
        <w:rPr>
          <w:rFonts w:asciiTheme="minorHAnsi" w:hAnsiTheme="minorHAnsi"/>
        </w:rPr>
      </w:pPr>
      <w:hyperlink r:id="rId24" w:history="1">
        <w:r w:rsidRPr="005E6E22">
          <w:rPr>
            <w:rStyle w:val="Hyperlink"/>
            <w:rFonts w:asciiTheme="minorHAnsi" w:hAnsiTheme="minorHAnsi"/>
            <w:b/>
          </w:rPr>
          <w:t>State v. Lingerfelt</w:t>
        </w:r>
      </w:hyperlink>
      <w:r w:rsidRPr="005E6E22">
        <w:rPr>
          <w:rFonts w:asciiTheme="minorHAnsi" w:hAnsiTheme="minorHAnsi"/>
        </w:rPr>
        <w:t>, No. 38A25 (N.C. Aug. 14, 2026) (McDowell Co.) (Dietz). The introduction to the court’s opinion aptly summarizes the matter:</w:t>
      </w:r>
    </w:p>
    <w:p w14:paraId="27E2E18E" w14:textId="77777777" w:rsidR="00CE0EF3" w:rsidRDefault="00CE0EF3" w:rsidP="005E6E22">
      <w:pPr>
        <w:spacing w:after="0" w:line="240" w:lineRule="auto"/>
        <w:rPr>
          <w:rFonts w:asciiTheme="minorHAnsi" w:hAnsiTheme="minorHAnsi"/>
        </w:rPr>
      </w:pPr>
    </w:p>
    <w:p w14:paraId="25091AE2" w14:textId="20A9A9C6" w:rsidR="002B6F3F" w:rsidRPr="005E6E22" w:rsidRDefault="002B6F3F" w:rsidP="005E6E22">
      <w:pPr>
        <w:spacing w:after="0" w:line="240" w:lineRule="auto"/>
        <w:rPr>
          <w:rFonts w:asciiTheme="minorHAnsi" w:hAnsiTheme="minorHAnsi"/>
        </w:rPr>
      </w:pPr>
      <w:r w:rsidRPr="005E6E22">
        <w:rPr>
          <w:rFonts w:asciiTheme="minorHAnsi" w:hAnsiTheme="minorHAnsi"/>
        </w:rPr>
        <w:t>In 2003, Defendant William David Lingerfelt pleaded guilty to two counts of sexual activity by a substitute parent. As a result, Lingerfelt was required to register as a sex offender.</w:t>
      </w:r>
    </w:p>
    <w:p w14:paraId="69592239" w14:textId="77777777" w:rsidR="002B6F3F" w:rsidRDefault="002B6F3F" w:rsidP="005E6E22">
      <w:pPr>
        <w:spacing w:after="0" w:line="240" w:lineRule="auto"/>
        <w:rPr>
          <w:rFonts w:asciiTheme="minorHAnsi" w:hAnsiTheme="minorHAnsi"/>
        </w:rPr>
      </w:pPr>
      <w:r w:rsidRPr="005E6E22">
        <w:rPr>
          <w:rFonts w:asciiTheme="minorHAnsi" w:hAnsiTheme="minorHAnsi"/>
        </w:rPr>
        <w:t>Under state law, a person cannot petition to be removed from the sex offender registry until they meet the requirements of the federal Sex Offender Registration and Notification Act.</w:t>
      </w:r>
    </w:p>
    <w:p w14:paraId="34787200" w14:textId="77777777" w:rsidR="00CE0EF3" w:rsidRPr="005E6E22" w:rsidRDefault="00CE0EF3" w:rsidP="005E6E22">
      <w:pPr>
        <w:spacing w:after="0" w:line="240" w:lineRule="auto"/>
        <w:rPr>
          <w:rFonts w:asciiTheme="minorHAnsi" w:hAnsiTheme="minorHAnsi"/>
        </w:rPr>
      </w:pPr>
    </w:p>
    <w:p w14:paraId="1B82C18C" w14:textId="77777777" w:rsidR="002B6F3F" w:rsidRDefault="002B6F3F" w:rsidP="005E6E22">
      <w:pPr>
        <w:spacing w:after="0" w:line="240" w:lineRule="auto"/>
        <w:rPr>
          <w:rFonts w:asciiTheme="minorHAnsi" w:hAnsiTheme="minorHAnsi"/>
        </w:rPr>
      </w:pPr>
      <w:r w:rsidRPr="005E6E22">
        <w:rPr>
          <w:rFonts w:asciiTheme="minorHAnsi" w:hAnsiTheme="minorHAnsi"/>
        </w:rPr>
        <w:t> Under SORNA, offenders convicted of “Tier I” offenses cannot petition for removal until 15 years after the date of registration. Those convicted of “Tier II” offenses must wait 25 years before seeking removal.</w:t>
      </w:r>
    </w:p>
    <w:p w14:paraId="5751BF75" w14:textId="77777777" w:rsidR="00CE0EF3" w:rsidRPr="005E6E22" w:rsidRDefault="00CE0EF3" w:rsidP="005E6E22">
      <w:pPr>
        <w:spacing w:after="0" w:line="240" w:lineRule="auto"/>
        <w:rPr>
          <w:rFonts w:asciiTheme="minorHAnsi" w:hAnsiTheme="minorHAnsi"/>
        </w:rPr>
      </w:pPr>
    </w:p>
    <w:p w14:paraId="0247CD5D" w14:textId="77777777" w:rsidR="002B6F3F" w:rsidRDefault="002B6F3F" w:rsidP="005E6E22">
      <w:pPr>
        <w:spacing w:after="0" w:line="240" w:lineRule="auto"/>
        <w:rPr>
          <w:rFonts w:asciiTheme="minorHAnsi" w:hAnsiTheme="minorHAnsi"/>
        </w:rPr>
      </w:pPr>
      <w:r w:rsidRPr="005E6E22">
        <w:rPr>
          <w:rFonts w:asciiTheme="minorHAnsi" w:hAnsiTheme="minorHAnsi"/>
        </w:rPr>
        <w:t> In 2019, Lingerfelt petitioned to be removed from the sex offender registry. The trial court denied the petition after determining that Lingerfelt was a Tier II offender, meaning he had to wait 25 years from his initial 2003 registration to seek removal. Lingerfelt did not appeal this ruling, although it was a final, appealable judgment.</w:t>
      </w:r>
    </w:p>
    <w:p w14:paraId="610CE7AC" w14:textId="77777777" w:rsidR="00CE0EF3" w:rsidRPr="005E6E22" w:rsidRDefault="00CE0EF3" w:rsidP="005E6E22">
      <w:pPr>
        <w:spacing w:after="0" w:line="240" w:lineRule="auto"/>
        <w:rPr>
          <w:rFonts w:asciiTheme="minorHAnsi" w:hAnsiTheme="minorHAnsi"/>
        </w:rPr>
      </w:pPr>
    </w:p>
    <w:p w14:paraId="179E106D" w14:textId="77777777" w:rsidR="002B6F3F" w:rsidRDefault="002B6F3F" w:rsidP="005E6E22">
      <w:pPr>
        <w:spacing w:after="0" w:line="240" w:lineRule="auto"/>
        <w:rPr>
          <w:rFonts w:asciiTheme="minorHAnsi" w:hAnsiTheme="minorHAnsi"/>
        </w:rPr>
      </w:pPr>
      <w:r w:rsidRPr="005E6E22">
        <w:rPr>
          <w:rFonts w:asciiTheme="minorHAnsi" w:hAnsiTheme="minorHAnsi"/>
        </w:rPr>
        <w:t xml:space="preserve">In 2023, Lingerfelt again </w:t>
      </w:r>
      <w:proofErr w:type="gramStart"/>
      <w:r w:rsidRPr="005E6E22">
        <w:rPr>
          <w:rFonts w:asciiTheme="minorHAnsi" w:hAnsiTheme="minorHAnsi"/>
        </w:rPr>
        <w:t>petitioned</w:t>
      </w:r>
      <w:proofErr w:type="gramEnd"/>
      <w:r w:rsidRPr="005E6E22">
        <w:rPr>
          <w:rFonts w:asciiTheme="minorHAnsi" w:hAnsiTheme="minorHAnsi"/>
        </w:rPr>
        <w:t xml:space="preserve"> to be removed from the registry. The trial court again denied the petition because he was a Tier II offender and not yet eligible. This time, Lingerfelt appealed, arguing that he was a Tier I offender, not a Tier II offender, and thus was eligible for removal under SORNA.</w:t>
      </w:r>
    </w:p>
    <w:p w14:paraId="4AC0D075" w14:textId="77777777" w:rsidR="00CE0EF3" w:rsidRPr="005E6E22" w:rsidRDefault="00CE0EF3" w:rsidP="005E6E22">
      <w:pPr>
        <w:spacing w:after="0" w:line="240" w:lineRule="auto"/>
        <w:rPr>
          <w:rFonts w:asciiTheme="minorHAnsi" w:hAnsiTheme="minorHAnsi"/>
        </w:rPr>
      </w:pPr>
    </w:p>
    <w:p w14:paraId="65A3CD1E" w14:textId="77777777" w:rsidR="00CE0EF3" w:rsidRDefault="002B6F3F" w:rsidP="005E6E22">
      <w:pPr>
        <w:spacing w:after="0" w:line="240" w:lineRule="auto"/>
        <w:rPr>
          <w:rFonts w:asciiTheme="minorHAnsi" w:hAnsiTheme="minorHAnsi"/>
        </w:rPr>
      </w:pPr>
      <w:r w:rsidRPr="005E6E22">
        <w:rPr>
          <w:rFonts w:asciiTheme="minorHAnsi" w:hAnsiTheme="minorHAnsi"/>
        </w:rPr>
        <w:t>The dispositive question for this Court is whether the failure to appeal the 2019 order bars Lingerfelt from contesting the legal ruling that he is a Tier II offender. As explained below, we hold that successive petitions to terminate sex offender registration are all parts of the same underlying case and subject to the doctrine of law of the case [not collateral estoppel, which is an affirmative defense that the State did not present]. Applying that doctrine here, Lingerfelt is procedurally barred from challenging his designation as a Tier II offender because he failed to appeal from the first judgment in this case addressing that legal question.</w:t>
      </w:r>
    </w:p>
    <w:p w14:paraId="33A32403" w14:textId="77777777" w:rsidR="00CE0EF3" w:rsidRDefault="00CE0EF3" w:rsidP="005E6E22">
      <w:pPr>
        <w:spacing w:after="0" w:line="240" w:lineRule="auto"/>
        <w:rPr>
          <w:rFonts w:asciiTheme="minorHAnsi" w:hAnsiTheme="minorHAnsi"/>
        </w:rPr>
      </w:pPr>
    </w:p>
    <w:p w14:paraId="715DF0C1" w14:textId="1CBFD858" w:rsidR="002B6F3F" w:rsidRDefault="002B6F3F" w:rsidP="005E6E22">
      <w:pPr>
        <w:spacing w:after="0" w:line="240" w:lineRule="auto"/>
        <w:rPr>
          <w:rFonts w:asciiTheme="minorHAnsi" w:hAnsiTheme="minorHAnsi"/>
        </w:rPr>
      </w:pPr>
      <w:r w:rsidRPr="005E6E22">
        <w:rPr>
          <w:rFonts w:asciiTheme="minorHAnsi" w:hAnsiTheme="minorHAnsi"/>
        </w:rPr>
        <w:t xml:space="preserve">The court therefore did not attempt to decide whether Lingerfelt’s conviction was, in fact, a Tier I or Tier II offense. The court also stated its view that the law of the case does not apply to prevent a successive petition when the earlier petition was denied because of a judge’s determination that the defendant remains a “potential threat to public safety” rather than on SORNA grounds. A defendant’s dangerousness may change over </w:t>
      </w:r>
      <w:proofErr w:type="gramStart"/>
      <w:r w:rsidRPr="005E6E22">
        <w:rPr>
          <w:rFonts w:asciiTheme="minorHAnsi" w:hAnsiTheme="minorHAnsi"/>
        </w:rPr>
        <w:t>time</w:t>
      </w:r>
      <w:proofErr w:type="gramEnd"/>
      <w:r w:rsidRPr="005E6E22">
        <w:rPr>
          <w:rFonts w:asciiTheme="minorHAnsi" w:hAnsiTheme="minorHAnsi"/>
        </w:rPr>
        <w:t xml:space="preserve"> and the relevant statute expressly allows a successive petition to be filed one year after a denial, which the majority viewed as an invitation to courts to continue to reassess dangerousness. See </w:t>
      </w:r>
      <w:r w:rsidRPr="00CE0EF3">
        <w:rPr>
          <w:rFonts w:asciiTheme="minorHAnsi" w:hAnsiTheme="minorHAnsi"/>
          <w:bCs w:val="0"/>
        </w:rPr>
        <w:t>G.S. 14-208.12A</w:t>
      </w:r>
      <w:r w:rsidRPr="005E6E22">
        <w:rPr>
          <w:rFonts w:asciiTheme="minorHAnsi" w:hAnsiTheme="minorHAnsi"/>
        </w:rPr>
        <w:t>(a3).</w:t>
      </w:r>
    </w:p>
    <w:p w14:paraId="4088412D" w14:textId="77777777" w:rsidR="00CE0EF3" w:rsidRPr="005E6E22" w:rsidRDefault="00CE0EF3" w:rsidP="005E6E22">
      <w:pPr>
        <w:spacing w:after="0" w:line="240" w:lineRule="auto"/>
        <w:rPr>
          <w:rFonts w:asciiTheme="minorHAnsi" w:hAnsiTheme="minorHAnsi"/>
        </w:rPr>
      </w:pPr>
    </w:p>
    <w:p w14:paraId="3BEA192B" w14:textId="77777777" w:rsidR="002B6F3F" w:rsidRPr="005E6E22" w:rsidRDefault="002B6F3F" w:rsidP="005E6E22">
      <w:pPr>
        <w:spacing w:after="0" w:line="240" w:lineRule="auto"/>
        <w:rPr>
          <w:rFonts w:asciiTheme="minorHAnsi" w:hAnsiTheme="minorHAnsi"/>
        </w:rPr>
      </w:pPr>
      <w:r w:rsidRPr="005E6E22">
        <w:rPr>
          <w:rFonts w:asciiTheme="minorHAnsi" w:hAnsiTheme="minorHAnsi"/>
        </w:rPr>
        <w:t>Justice Riggs, joined by Justice Earls, dissented. She would have held that the statutory provision allowing successive petitions renders the law of the case inapplicable. She also viewed reliance on the law of the case as inappropriate given that the doctrine was never raised by the State, and indeed, was expressly disclaimed by it. (The issue was raised initially by a Justice during oral argument.)</w:t>
      </w:r>
    </w:p>
    <w:p w14:paraId="1D3E072D" w14:textId="77777777" w:rsidR="00980CF9" w:rsidRPr="005E6E22" w:rsidRDefault="00980CF9" w:rsidP="005E6E22">
      <w:pPr>
        <w:spacing w:after="0" w:line="240" w:lineRule="auto"/>
        <w:rPr>
          <w:rFonts w:asciiTheme="minorHAnsi" w:hAnsiTheme="minorHAnsi"/>
        </w:rPr>
      </w:pPr>
    </w:p>
    <w:p w14:paraId="4EC4121B" w14:textId="77777777" w:rsidR="00980CF9" w:rsidRPr="005E6E22" w:rsidRDefault="00980CF9" w:rsidP="005E6E22">
      <w:pPr>
        <w:spacing w:after="0" w:line="240" w:lineRule="auto"/>
        <w:rPr>
          <w:rFonts w:asciiTheme="minorHAnsi" w:hAnsiTheme="minorHAnsi"/>
        </w:rPr>
      </w:pPr>
    </w:p>
    <w:p w14:paraId="08626947" w14:textId="5D05C09C" w:rsidR="007E1EEB" w:rsidRDefault="00B404F8" w:rsidP="005E6E22">
      <w:pPr>
        <w:pStyle w:val="Heading1"/>
        <w:spacing w:before="0" w:after="0" w:line="240" w:lineRule="auto"/>
        <w:rPr>
          <w:rFonts w:asciiTheme="minorHAnsi" w:hAnsiTheme="minorHAnsi"/>
          <w:sz w:val="28"/>
          <w:szCs w:val="28"/>
        </w:rPr>
      </w:pPr>
      <w:bookmarkStart w:id="17" w:name="_Toc242024779"/>
      <w:r w:rsidRPr="005E6E22">
        <w:rPr>
          <w:rFonts w:asciiTheme="minorHAnsi" w:hAnsiTheme="minorHAnsi"/>
          <w:sz w:val="28"/>
          <w:szCs w:val="28"/>
        </w:rPr>
        <w:t>Probation Violations</w:t>
      </w:r>
      <w:bookmarkEnd w:id="17"/>
    </w:p>
    <w:p w14:paraId="298947FE" w14:textId="77777777" w:rsidR="00CE0EF3" w:rsidRPr="00CE0EF3" w:rsidRDefault="00CE0EF3" w:rsidP="00CE0EF3"/>
    <w:p w14:paraId="008590C8" w14:textId="77777777" w:rsidR="0030723F" w:rsidRDefault="0030723F" w:rsidP="005E6E22">
      <w:pPr>
        <w:spacing w:after="0" w:line="240" w:lineRule="auto"/>
        <w:rPr>
          <w:rFonts w:asciiTheme="minorHAnsi" w:hAnsiTheme="minorHAnsi"/>
          <w:b/>
        </w:rPr>
      </w:pPr>
      <w:r w:rsidRPr="005E6E22">
        <w:rPr>
          <w:rFonts w:asciiTheme="minorHAnsi" w:hAnsiTheme="minorHAnsi"/>
          <w:b/>
        </w:rPr>
        <w:t>Trial court did not err by finding a violation of conditions of probation based on Defendant’s admission to failure to pay; insufficient evidence supported the findings that Defendant committed new criminal offenses and failed to report as directed; trial court did not err by imposing a five-month period of incarceration as an incident of special probation.</w:t>
      </w:r>
    </w:p>
    <w:p w14:paraId="765B3AED" w14:textId="77777777" w:rsidR="00CE0EF3" w:rsidRPr="005E6E22" w:rsidRDefault="00CE0EF3" w:rsidP="005E6E22">
      <w:pPr>
        <w:spacing w:after="0" w:line="240" w:lineRule="auto"/>
        <w:rPr>
          <w:rFonts w:asciiTheme="minorHAnsi" w:hAnsiTheme="minorHAnsi"/>
        </w:rPr>
      </w:pPr>
    </w:p>
    <w:p w14:paraId="1F0FF6BE" w14:textId="1B7FB6A0" w:rsidR="0030723F" w:rsidRDefault="0030723F" w:rsidP="005E6E22">
      <w:pPr>
        <w:spacing w:after="0" w:line="240" w:lineRule="auto"/>
        <w:rPr>
          <w:rFonts w:asciiTheme="minorHAnsi" w:hAnsiTheme="minorHAnsi"/>
        </w:rPr>
      </w:pPr>
      <w:hyperlink r:id="rId25" w:history="1">
        <w:r w:rsidRPr="005E6E22">
          <w:rPr>
            <w:rStyle w:val="Hyperlink"/>
            <w:rFonts w:asciiTheme="minorHAnsi" w:hAnsiTheme="minorHAnsi"/>
            <w:b/>
          </w:rPr>
          <w:t>State v. Allen</w:t>
        </w:r>
      </w:hyperlink>
      <w:r w:rsidRPr="005E6E22">
        <w:rPr>
          <w:rFonts w:asciiTheme="minorHAnsi" w:hAnsiTheme="minorHAnsi"/>
        </w:rPr>
        <w:t>, No. COA24-1010 (N.C. Ct. App. Sept. 16, 2026) (Durham County)</w:t>
      </w:r>
      <w:r w:rsidR="00CE0EF3">
        <w:rPr>
          <w:rFonts w:asciiTheme="minorHAnsi" w:hAnsiTheme="minorHAnsi"/>
        </w:rPr>
        <w:t xml:space="preserve"> (Stading)</w:t>
      </w:r>
      <w:r w:rsidRPr="005E6E22">
        <w:rPr>
          <w:rFonts w:asciiTheme="minorHAnsi" w:hAnsiTheme="minorHAnsi"/>
        </w:rPr>
        <w:t xml:space="preserve">. On April 18, 2022, Defendant pled guilty to </w:t>
      </w:r>
      <w:proofErr w:type="gramStart"/>
      <w:r w:rsidRPr="005E6E22">
        <w:rPr>
          <w:rFonts w:asciiTheme="minorHAnsi" w:hAnsiTheme="minorHAnsi"/>
        </w:rPr>
        <w:t>a number of</w:t>
      </w:r>
      <w:proofErr w:type="gramEnd"/>
      <w:r w:rsidRPr="005E6E22">
        <w:rPr>
          <w:rFonts w:asciiTheme="minorHAnsi" w:hAnsiTheme="minorHAnsi"/>
        </w:rPr>
        <w:t xml:space="preserve"> offenses, including felony larceny and fleeing to elude. The trial court sentenced Defendant to a minimum 11, maximum 23 months. That sentence was suspended, and Defendant was placed on supervised probation for a period of 24 months, to begin upon her release from incarceration in another case. On Feb. 6, 2024, Defendant’s probation officer filed reports alleging Defendant had violated the terms of her probation by, among other things, (1) failing to make payments toward restitution, costs, and fees; (2) failing to report as directed, and (3) committing new criminal offenses. The matter came on for a hearing on March 26, 2024. At the hearing, Defendant admitted to failing to pay any money; defense counsel noted Defendant had been incarcerated for some time. The trial court found Defendant had violated the conditions of probation as alleged and modified the terms of probation: it extended the period of probation for 24 months and ordered Defendant to serve five months of special probation. Defendant appealed. Defendant then filed a motion for appropriate relief (MAR) with the Court of Appeals.</w:t>
      </w:r>
    </w:p>
    <w:p w14:paraId="12E86EB5" w14:textId="77777777" w:rsidR="00CE0EF3" w:rsidRPr="005E6E22" w:rsidRDefault="00CE0EF3" w:rsidP="005E6E22">
      <w:pPr>
        <w:spacing w:after="0" w:line="240" w:lineRule="auto"/>
        <w:rPr>
          <w:rFonts w:asciiTheme="minorHAnsi" w:hAnsiTheme="minorHAnsi"/>
        </w:rPr>
      </w:pPr>
    </w:p>
    <w:p w14:paraId="42798AD6" w14:textId="77777777" w:rsidR="0030723F" w:rsidRDefault="0030723F" w:rsidP="005E6E22">
      <w:pPr>
        <w:spacing w:after="0" w:line="240" w:lineRule="auto"/>
        <w:rPr>
          <w:rFonts w:asciiTheme="minorHAnsi" w:hAnsiTheme="minorHAnsi"/>
        </w:rPr>
      </w:pPr>
      <w:r w:rsidRPr="005E6E22">
        <w:rPr>
          <w:rFonts w:asciiTheme="minorHAnsi" w:hAnsiTheme="minorHAnsi"/>
        </w:rPr>
        <w:t>In her direct appeal, Defendant argued the trial court erred by finding that she willfully violated the terms of her probation. In particular, she argued there was insufficient evidence (1) that she committed new criminal offenses or (2) that she failed to report as directed. Defendant also argued (3) the trial court erred by finding a willful failure to pay without considering her ability to pay.</w:t>
      </w:r>
    </w:p>
    <w:p w14:paraId="67B015CA" w14:textId="77777777" w:rsidR="00CE0EF3" w:rsidRPr="005E6E22" w:rsidRDefault="00CE0EF3" w:rsidP="005E6E22">
      <w:pPr>
        <w:spacing w:after="0" w:line="240" w:lineRule="auto"/>
        <w:rPr>
          <w:rFonts w:asciiTheme="minorHAnsi" w:hAnsiTheme="minorHAnsi"/>
        </w:rPr>
      </w:pPr>
    </w:p>
    <w:p w14:paraId="4BCFFA96" w14:textId="77777777" w:rsidR="0030723F" w:rsidRDefault="0030723F" w:rsidP="005E6E22">
      <w:pPr>
        <w:spacing w:after="0" w:line="240" w:lineRule="auto"/>
        <w:rPr>
          <w:rFonts w:asciiTheme="minorHAnsi" w:hAnsiTheme="minorHAnsi"/>
        </w:rPr>
      </w:pPr>
      <w:r w:rsidRPr="005E6E22">
        <w:rPr>
          <w:rFonts w:asciiTheme="minorHAnsi" w:hAnsiTheme="minorHAnsi"/>
        </w:rPr>
        <w:t>Addressing the third argument first, the Court of Appeals posited that the burden is on the probationer to offer evidence of inability to pay; but when a probationer presents evidence of inability to pay, the trial court must make findings of fact showing it considered that evidence. Here, the Court of Appeals noted, Defendant admitted to the alleged violation of failure to make payments. As for defense counsel’s comment that Defendant had been incarcerated for some time, the Court of Appeals observed that the statements of counsel do not qualify as competent evidence. As for the probation officer’s purported acknowledgment of Defendant’s inability to pay, the Court of Appeals found no such statement in the record. The Court of Appeals concluded that the trial court did not err by finding a willful violation of probation. Given Defendant’s admissions, the trial court did not err by modifying the terms of probation.</w:t>
      </w:r>
    </w:p>
    <w:p w14:paraId="78AFE79C" w14:textId="77777777" w:rsidR="00CE0EF3" w:rsidRPr="005E6E22" w:rsidRDefault="00CE0EF3" w:rsidP="005E6E22">
      <w:pPr>
        <w:spacing w:after="0" w:line="240" w:lineRule="auto"/>
        <w:rPr>
          <w:rFonts w:asciiTheme="minorHAnsi" w:hAnsiTheme="minorHAnsi"/>
        </w:rPr>
      </w:pPr>
    </w:p>
    <w:p w14:paraId="04CD2F8D" w14:textId="77777777" w:rsidR="0030723F" w:rsidRDefault="0030723F" w:rsidP="005E6E22">
      <w:pPr>
        <w:spacing w:after="0" w:line="240" w:lineRule="auto"/>
        <w:rPr>
          <w:rFonts w:asciiTheme="minorHAnsi" w:hAnsiTheme="minorHAnsi"/>
        </w:rPr>
      </w:pPr>
      <w:r w:rsidRPr="005E6E22">
        <w:rPr>
          <w:rFonts w:asciiTheme="minorHAnsi" w:hAnsiTheme="minorHAnsi"/>
        </w:rPr>
        <w:t>Summarily addressing Defendant’s first and second arguments, the Court of Appeals agreed that there was insufficient evidence Defendant had committed new criminal offenses or failed to report as directed. Consequently, the Court of Appeals vacated the portion of the trial court’s order finding Defendant admitted to these allegations. The Court of Appeals otherwise affirmed the order.</w:t>
      </w:r>
    </w:p>
    <w:p w14:paraId="57385784" w14:textId="77777777" w:rsidR="00CE0EF3" w:rsidRPr="005E6E22" w:rsidRDefault="00CE0EF3" w:rsidP="005E6E22">
      <w:pPr>
        <w:spacing w:after="0" w:line="240" w:lineRule="auto"/>
        <w:rPr>
          <w:rFonts w:asciiTheme="minorHAnsi" w:hAnsiTheme="minorHAnsi"/>
        </w:rPr>
      </w:pPr>
    </w:p>
    <w:p w14:paraId="4EA5ECA5" w14:textId="5CADF913" w:rsidR="0030723F" w:rsidRPr="005E6E22" w:rsidRDefault="0030723F" w:rsidP="005E6E22">
      <w:pPr>
        <w:spacing w:after="0" w:line="240" w:lineRule="auto"/>
        <w:rPr>
          <w:rFonts w:asciiTheme="minorHAnsi" w:hAnsiTheme="minorHAnsi"/>
        </w:rPr>
      </w:pPr>
      <w:r w:rsidRPr="005E6E22">
        <w:rPr>
          <w:rFonts w:asciiTheme="minorHAnsi" w:hAnsiTheme="minorHAnsi"/>
        </w:rPr>
        <w:t xml:space="preserve">In her MAR, Defendant argued the trial court erred by imposing a five-month period of imprisonment as an incident of special probation. When a defendant has violated a condition of probation, the trial court may modify the probation to place the defendant on special probation and require that the defendant submit to a period of imprisonment. G.S. </w:t>
      </w:r>
      <w:r w:rsidRPr="00CE0EF3">
        <w:rPr>
          <w:rFonts w:asciiTheme="minorHAnsi" w:hAnsiTheme="minorHAnsi"/>
          <w:bCs w:val="0"/>
        </w:rPr>
        <w:t>15A-1344</w:t>
      </w:r>
      <w:r w:rsidRPr="005E6E22">
        <w:rPr>
          <w:rFonts w:asciiTheme="minorHAnsi" w:hAnsiTheme="minorHAnsi"/>
        </w:rPr>
        <w:t>(e). Such confinement may not exceed one-</w:t>
      </w:r>
      <w:proofErr w:type="gramStart"/>
      <w:r w:rsidRPr="005E6E22">
        <w:rPr>
          <w:rFonts w:asciiTheme="minorHAnsi" w:hAnsiTheme="minorHAnsi"/>
        </w:rPr>
        <w:t>fourth</w:t>
      </w:r>
      <w:proofErr w:type="gramEnd"/>
      <w:r w:rsidRPr="005E6E22">
        <w:rPr>
          <w:rFonts w:asciiTheme="minorHAnsi" w:hAnsiTheme="minorHAnsi"/>
        </w:rPr>
        <w:t xml:space="preserve"> the maximum sentence, and no confinement other than an activated suspended sentence may be required beyond the period of probation or beyond two years of the time the special probation is imposed, whichever comes first. </w:t>
      </w:r>
      <w:r w:rsidRPr="00A5074E">
        <w:rPr>
          <w:rFonts w:asciiTheme="minorHAnsi" w:hAnsiTheme="minorHAnsi"/>
          <w:bCs w:val="0"/>
          <w:i/>
          <w:iCs/>
        </w:rPr>
        <w:t>Id</w:t>
      </w:r>
      <w:r w:rsidRPr="00CE0EF3">
        <w:rPr>
          <w:rFonts w:asciiTheme="minorHAnsi" w:hAnsiTheme="minorHAnsi"/>
          <w:bCs w:val="0"/>
        </w:rPr>
        <w:t>.</w:t>
      </w:r>
      <w:r w:rsidRPr="005E6E22">
        <w:rPr>
          <w:rFonts w:asciiTheme="minorHAnsi" w:hAnsiTheme="minorHAnsi"/>
        </w:rPr>
        <w:t xml:space="preserve"> Here, before Defendant’s probation expired on April 18, 2024, the trial court extended her probation for 24 months and ordered Defendant to serve a five-month period of imprisonment. The Court of Appeals concluded that Defendant’s admission to a violation of a condition of her probation authorized the trial court to impose special probation, and that the five-month period of imprisonment complied with G.S. 15A-1344(e). The Court of Appeals rejected Defendant’s reliance on G.S. 15A-1351, explaining that that statute applies when the trial court imposes special probation </w:t>
      </w:r>
      <w:r w:rsidRPr="005E6E22">
        <w:rPr>
          <w:rFonts w:asciiTheme="minorHAnsi" w:hAnsiTheme="minorHAnsi"/>
          <w:i/>
          <w:iCs/>
        </w:rPr>
        <w:t>at the time of sentencing</w:t>
      </w:r>
      <w:r w:rsidRPr="005E6E22">
        <w:rPr>
          <w:rFonts w:asciiTheme="minorHAnsi" w:hAnsiTheme="minorHAnsi"/>
        </w:rPr>
        <w:t xml:space="preserve">, whereas G.S. 15A-1344 applies when the trial court imposes special probation in response to a probationer’s violation of a condition of probation. The Court of Appeals also rejected Defendant’s reliance on </w:t>
      </w:r>
      <w:proofErr w:type="gramStart"/>
      <w:r w:rsidRPr="005E6E22">
        <w:rPr>
          <w:rFonts w:asciiTheme="minorHAnsi" w:hAnsiTheme="minorHAnsi"/>
        </w:rPr>
        <w:t>caselaw</w:t>
      </w:r>
      <w:proofErr w:type="gramEnd"/>
      <w:r w:rsidRPr="005E6E22">
        <w:rPr>
          <w:rFonts w:asciiTheme="minorHAnsi" w:hAnsiTheme="minorHAnsi"/>
        </w:rPr>
        <w:t xml:space="preserve"> construing G.S. 15A-1351, explaining that it was bound by the plain language of G.S. 15A-1344(e). Accordingly, the Court of Appeals denied Defendant’s MAR.</w:t>
      </w:r>
    </w:p>
    <w:p w14:paraId="0DFE3F48" w14:textId="77777777" w:rsidR="00F37382" w:rsidRPr="005E6E22" w:rsidRDefault="00F37382" w:rsidP="005E6E22">
      <w:pPr>
        <w:spacing w:after="0" w:line="240" w:lineRule="auto"/>
        <w:rPr>
          <w:rFonts w:asciiTheme="minorHAnsi" w:hAnsiTheme="minorHAnsi"/>
        </w:rPr>
      </w:pPr>
    </w:p>
    <w:p w14:paraId="4DB4BDC2" w14:textId="7A2947AE" w:rsidR="00B404F8" w:rsidRPr="009B04A3" w:rsidRDefault="00796EB0" w:rsidP="009B04A3">
      <w:pPr>
        <w:spacing w:line="278" w:lineRule="auto"/>
        <w:rPr>
          <w:rFonts w:asciiTheme="minorHAnsi" w:eastAsiaTheme="majorEastAsia" w:hAnsiTheme="minorHAnsi" w:cstheme="majorBidi"/>
          <w:bCs w:val="0"/>
          <w:color w:val="0F4761" w:themeColor="accent1" w:themeShade="BF"/>
          <w:kern w:val="2"/>
          <w:sz w:val="28"/>
          <w:szCs w:val="28"/>
          <w14:ligatures w14:val="standardContextual"/>
        </w:rPr>
      </w:pPr>
      <w:r w:rsidRPr="005E6E22">
        <w:rPr>
          <w:rFonts w:asciiTheme="minorHAnsi" w:hAnsiTheme="minorHAnsi"/>
          <w:sz w:val="28"/>
          <w:szCs w:val="28"/>
        </w:rPr>
        <w:t>Appeal</w:t>
      </w:r>
      <w:r w:rsidR="00DE3512" w:rsidRPr="005E6E22">
        <w:rPr>
          <w:rFonts w:asciiTheme="minorHAnsi" w:hAnsiTheme="minorHAnsi"/>
          <w:sz w:val="28"/>
          <w:szCs w:val="28"/>
        </w:rPr>
        <w:t xml:space="preserve"> and Post Conviction Relief</w:t>
      </w:r>
    </w:p>
    <w:p w14:paraId="41EE40E0" w14:textId="77777777" w:rsidR="00A5074E" w:rsidRPr="00A5074E" w:rsidRDefault="00A5074E" w:rsidP="00A5074E"/>
    <w:p w14:paraId="552CC402" w14:textId="56871D5A" w:rsidR="00796EB0" w:rsidRDefault="00CC2BF8" w:rsidP="005E6E22">
      <w:pPr>
        <w:spacing w:after="0" w:line="240" w:lineRule="auto"/>
        <w:rPr>
          <w:rFonts w:asciiTheme="minorHAnsi" w:hAnsiTheme="minorHAnsi"/>
          <w:b/>
        </w:rPr>
      </w:pPr>
      <w:r w:rsidRPr="005E6E22">
        <w:rPr>
          <w:rFonts w:asciiTheme="minorHAnsi" w:hAnsiTheme="minorHAnsi"/>
          <w:b/>
        </w:rPr>
        <w:t>An appeal waiver in a federal plea agreement is unenforceable when enforcing the waiver would result in a miscarriage of justice.</w:t>
      </w:r>
    </w:p>
    <w:p w14:paraId="48664BAD" w14:textId="77777777" w:rsidR="00A5074E" w:rsidRPr="005E6E22" w:rsidRDefault="00A5074E" w:rsidP="005E6E22">
      <w:pPr>
        <w:spacing w:after="0" w:line="240" w:lineRule="auto"/>
        <w:rPr>
          <w:rFonts w:asciiTheme="minorHAnsi" w:hAnsiTheme="minorHAnsi"/>
          <w:b/>
        </w:rPr>
      </w:pPr>
    </w:p>
    <w:p w14:paraId="035356EC" w14:textId="6FB27D57" w:rsidR="006150A3" w:rsidRDefault="006150A3" w:rsidP="005E6E22">
      <w:pPr>
        <w:spacing w:after="0" w:line="240" w:lineRule="auto"/>
        <w:rPr>
          <w:rFonts w:asciiTheme="minorHAnsi" w:hAnsiTheme="minorHAnsi"/>
        </w:rPr>
      </w:pPr>
      <w:hyperlink r:id="rId26" w:history="1">
        <w:r w:rsidRPr="009027B3">
          <w:rPr>
            <w:rStyle w:val="Hyperlink"/>
            <w:rFonts w:asciiTheme="minorHAnsi" w:hAnsiTheme="minorHAnsi"/>
            <w:b/>
          </w:rPr>
          <w:t>Hunter v. United States</w:t>
        </w:r>
      </w:hyperlink>
      <w:r w:rsidRPr="009027B3">
        <w:rPr>
          <w:rFonts w:asciiTheme="minorHAnsi" w:hAnsiTheme="minorHAnsi"/>
          <w:bCs w:val="0"/>
        </w:rPr>
        <w:t xml:space="preserve">, </w:t>
      </w:r>
      <w:r w:rsidR="009027B3">
        <w:rPr>
          <w:rFonts w:asciiTheme="minorHAnsi" w:hAnsiTheme="minorHAnsi"/>
          <w:bCs w:val="0"/>
        </w:rPr>
        <w:t>608</w:t>
      </w:r>
      <w:r w:rsidRPr="009027B3">
        <w:rPr>
          <w:rFonts w:asciiTheme="minorHAnsi" w:hAnsiTheme="minorHAnsi"/>
          <w:bCs w:val="0"/>
        </w:rPr>
        <w:t xml:space="preserve"> U.S. __ (June 18, 2026) (Kagan, J.).</w:t>
      </w:r>
      <w:r w:rsidRPr="005E6E22">
        <w:rPr>
          <w:rFonts w:asciiTheme="minorHAnsi" w:hAnsiTheme="minorHAnsi"/>
        </w:rPr>
        <w:t xml:space="preserve"> A defendant pled guilty to a federal fraud offense. In his plea agreement, he waived the right to appeal anything except the ineffective assistance of counsel. He was sentenced to 51 months in prison followed by three years of supervised release. As a condition of supervised release, the judge required that the defendant take any mental health medications prescribed by his treating physician. The defendant appealed, arguing that his sentence amounted to forced medication in violation of his due process rights. The Government moved to dismiss his appeal based on the appeal waiver and the Fifth Circuit agreed. The defendant sought review in the Supreme Court.</w:t>
      </w:r>
    </w:p>
    <w:p w14:paraId="3D342DF9" w14:textId="77777777" w:rsidR="00A5074E" w:rsidRPr="005E6E22" w:rsidRDefault="00A5074E" w:rsidP="005E6E22">
      <w:pPr>
        <w:spacing w:after="0" w:line="240" w:lineRule="auto"/>
        <w:rPr>
          <w:rFonts w:asciiTheme="minorHAnsi" w:hAnsiTheme="minorHAnsi"/>
        </w:rPr>
      </w:pPr>
    </w:p>
    <w:p w14:paraId="2F3A422D" w14:textId="77777777" w:rsidR="006150A3" w:rsidRDefault="006150A3" w:rsidP="005E6E22">
      <w:pPr>
        <w:spacing w:after="0" w:line="240" w:lineRule="auto"/>
        <w:rPr>
          <w:rFonts w:asciiTheme="minorHAnsi" w:hAnsiTheme="minorHAnsi"/>
        </w:rPr>
      </w:pPr>
      <w:r w:rsidRPr="005E6E22">
        <w:rPr>
          <w:rFonts w:asciiTheme="minorHAnsi" w:hAnsiTheme="minorHAnsi"/>
        </w:rPr>
        <w:t>Justice Kagan wrote the Court’s opinion, which was joined by all the Justices except Justice Thomas. The Court followed a path that several circuit courts had previously established, holding that appeal waivers are unenforceable when they would result in a “miscarriage of justice” – in other words, when they would insulate from review “egregious” errors that would bring the judicial system into disrepute. The Court reasoned that judges are deeply bound up in the use of appeal waivers, both by accepting plea agreements that contain them and by ruling on motions to dismiss appeals, and that judges must be free to preserve the integrity and legitimacy of the court system.</w:t>
      </w:r>
    </w:p>
    <w:p w14:paraId="15F9FE0F" w14:textId="77777777" w:rsidR="00A5074E" w:rsidRPr="005E6E22" w:rsidRDefault="00A5074E" w:rsidP="005E6E22">
      <w:pPr>
        <w:spacing w:after="0" w:line="240" w:lineRule="auto"/>
        <w:rPr>
          <w:rFonts w:asciiTheme="minorHAnsi" w:hAnsiTheme="minorHAnsi"/>
        </w:rPr>
      </w:pPr>
    </w:p>
    <w:p w14:paraId="690972CB" w14:textId="77777777" w:rsidR="006150A3" w:rsidRDefault="006150A3" w:rsidP="005E6E22">
      <w:pPr>
        <w:spacing w:after="0" w:line="240" w:lineRule="auto"/>
        <w:rPr>
          <w:rFonts w:asciiTheme="minorHAnsi" w:hAnsiTheme="minorHAnsi"/>
        </w:rPr>
      </w:pPr>
      <w:r w:rsidRPr="005E6E22">
        <w:rPr>
          <w:rFonts w:asciiTheme="minorHAnsi" w:hAnsiTheme="minorHAnsi"/>
        </w:rPr>
        <w:t xml:space="preserve">As to which alleged errors amount to miscarriages of justice, the Court provided several examples, such as a sentence exceeding the statutory maximum for the crime, a sentence based on race, a sentence imposing a requirement that the defendant not become pregnant, a sentence imposed without a meaningful hearing, or a sentence pulled out of a hat. It further indicated that only “extreme” errors would qualify, and that it did not expect its ruling to open the floodgates of appeals. It declined to consider whether the alleged error in this case rose to the required level, instead </w:t>
      </w:r>
      <w:proofErr w:type="gramStart"/>
      <w:r w:rsidRPr="005E6E22">
        <w:rPr>
          <w:rFonts w:asciiTheme="minorHAnsi" w:hAnsiTheme="minorHAnsi"/>
        </w:rPr>
        <w:t>remanding</w:t>
      </w:r>
      <w:proofErr w:type="gramEnd"/>
      <w:r w:rsidRPr="005E6E22">
        <w:rPr>
          <w:rFonts w:asciiTheme="minorHAnsi" w:hAnsiTheme="minorHAnsi"/>
        </w:rPr>
        <w:t xml:space="preserve"> the case to the Fifth Circuit to consider that issue.</w:t>
      </w:r>
    </w:p>
    <w:p w14:paraId="7C55A263" w14:textId="77777777" w:rsidR="00A5074E" w:rsidRPr="005E6E22" w:rsidRDefault="00A5074E" w:rsidP="005E6E22">
      <w:pPr>
        <w:spacing w:after="0" w:line="240" w:lineRule="auto"/>
        <w:rPr>
          <w:rFonts w:asciiTheme="minorHAnsi" w:hAnsiTheme="minorHAnsi"/>
        </w:rPr>
      </w:pPr>
    </w:p>
    <w:p w14:paraId="2A85BA4D" w14:textId="77777777" w:rsidR="006150A3" w:rsidRDefault="006150A3" w:rsidP="005E6E22">
      <w:pPr>
        <w:spacing w:after="0" w:line="240" w:lineRule="auto"/>
        <w:rPr>
          <w:rFonts w:asciiTheme="minorHAnsi" w:hAnsiTheme="minorHAnsi"/>
        </w:rPr>
      </w:pPr>
      <w:r w:rsidRPr="005E6E22">
        <w:rPr>
          <w:rFonts w:asciiTheme="minorHAnsi" w:hAnsiTheme="minorHAnsi"/>
        </w:rPr>
        <w:t>Justice Gorsuch concurred, criticizing the prevalence of plea bargaining and suggesting that many errors might fall under the “miscarriage of justice” umbrella. Justice Kavanaugh concurred, saying that he disagreed with Justice Gorsuch’s broad understanding of the concept of a miscarriage of justice. Justice Thomas dissented, arguing that neither contract law nor any supervisory authority of the Court over the lower federal courts provides any basis in law for the majority’s adoption of the miscarriage of justice exception. Justice Barrett wrote a brief concurrence, agreeing to some extent with Justice Thomas but ultimately concluding that “procedural common law” allows for appeal waivers to be disregarded in extreme cases.</w:t>
      </w:r>
    </w:p>
    <w:p w14:paraId="026B48B9" w14:textId="77777777" w:rsidR="00FD23A0" w:rsidRPr="005E6E22" w:rsidRDefault="00FD23A0" w:rsidP="005E6E22">
      <w:pPr>
        <w:spacing w:after="0" w:line="240" w:lineRule="auto"/>
        <w:rPr>
          <w:rFonts w:asciiTheme="minorHAnsi" w:hAnsiTheme="minorHAnsi"/>
        </w:rPr>
      </w:pPr>
    </w:p>
    <w:p w14:paraId="1697FB46" w14:textId="77777777" w:rsidR="00DE3512" w:rsidRDefault="00DE3512" w:rsidP="005E6E22">
      <w:pPr>
        <w:spacing w:after="0" w:line="240" w:lineRule="auto"/>
        <w:rPr>
          <w:rFonts w:asciiTheme="minorHAnsi" w:hAnsiTheme="minorHAnsi"/>
          <w:b/>
        </w:rPr>
      </w:pPr>
      <w:proofErr w:type="gramStart"/>
      <w:r w:rsidRPr="005E6E22">
        <w:rPr>
          <w:rFonts w:asciiTheme="minorHAnsi" w:hAnsiTheme="minorHAnsi"/>
          <w:b/>
        </w:rPr>
        <w:t>An ineffective assistance</w:t>
      </w:r>
      <w:proofErr w:type="gramEnd"/>
      <w:r w:rsidRPr="005E6E22">
        <w:rPr>
          <w:rFonts w:asciiTheme="minorHAnsi" w:hAnsiTheme="minorHAnsi"/>
          <w:b/>
        </w:rPr>
        <w:t xml:space="preserve"> of counsel claim is procedurally barred and may not be raised in an MAR when the claim is “apparent from the record” and so could have been raised on direct appeal, even if it might have been dismissed on direct appeal for further investigation</w:t>
      </w:r>
    </w:p>
    <w:p w14:paraId="491E1226" w14:textId="77777777" w:rsidR="00A5074E" w:rsidRPr="005E6E22" w:rsidRDefault="00A5074E" w:rsidP="005E6E22">
      <w:pPr>
        <w:spacing w:after="0" w:line="240" w:lineRule="auto"/>
        <w:rPr>
          <w:rFonts w:asciiTheme="minorHAnsi" w:hAnsiTheme="minorHAnsi"/>
        </w:rPr>
      </w:pPr>
    </w:p>
    <w:p w14:paraId="5F8F69B8" w14:textId="77777777" w:rsidR="00DE3512" w:rsidRDefault="00DE3512" w:rsidP="005E6E22">
      <w:pPr>
        <w:spacing w:after="0" w:line="240" w:lineRule="auto"/>
        <w:rPr>
          <w:rFonts w:asciiTheme="minorHAnsi" w:hAnsiTheme="minorHAnsi"/>
        </w:rPr>
      </w:pPr>
      <w:hyperlink r:id="rId27" w:history="1">
        <w:r w:rsidRPr="005E6E22">
          <w:rPr>
            <w:rStyle w:val="Hyperlink"/>
            <w:rFonts w:asciiTheme="minorHAnsi" w:hAnsiTheme="minorHAnsi"/>
            <w:b/>
          </w:rPr>
          <w:t>State v. Gupton</w:t>
        </w:r>
      </w:hyperlink>
      <w:r w:rsidRPr="005E6E22">
        <w:rPr>
          <w:rFonts w:asciiTheme="minorHAnsi" w:hAnsiTheme="minorHAnsi"/>
        </w:rPr>
        <w:t>, No. 444PA19-2 (N.C. Aug. 14, 2026) (Guilford Co.) (Berger). The defendant and another man went together to a hotel room. The State’s evidence suggested that the defendant assaulted and immobilized the other man, then set fire to the room, killing the other man. The defendant was charged with, and convicted of, first-degree murder and first-degree arson. His convictions were affirmed on direct appeal.</w:t>
      </w:r>
    </w:p>
    <w:p w14:paraId="007A94A8" w14:textId="77777777" w:rsidR="00A5074E" w:rsidRPr="005E6E22" w:rsidRDefault="00A5074E" w:rsidP="005E6E22">
      <w:pPr>
        <w:spacing w:after="0" w:line="240" w:lineRule="auto"/>
        <w:rPr>
          <w:rFonts w:asciiTheme="minorHAnsi" w:hAnsiTheme="minorHAnsi"/>
        </w:rPr>
      </w:pPr>
    </w:p>
    <w:p w14:paraId="1BD7A804" w14:textId="6243254B" w:rsidR="00DE3512" w:rsidRDefault="00DE3512" w:rsidP="005E6E22">
      <w:pPr>
        <w:spacing w:after="0" w:line="240" w:lineRule="auto"/>
        <w:rPr>
          <w:rFonts w:asciiTheme="minorHAnsi" w:hAnsiTheme="minorHAnsi"/>
        </w:rPr>
      </w:pPr>
      <w:r w:rsidRPr="005E6E22">
        <w:rPr>
          <w:rFonts w:asciiTheme="minorHAnsi" w:hAnsiTheme="minorHAnsi"/>
        </w:rPr>
        <w:t xml:space="preserve">He then filed </w:t>
      </w:r>
      <w:proofErr w:type="gramStart"/>
      <w:r w:rsidRPr="005E6E22">
        <w:rPr>
          <w:rFonts w:asciiTheme="minorHAnsi" w:hAnsiTheme="minorHAnsi"/>
        </w:rPr>
        <w:t>an MAR alleging ineffective assistance of counsel (IAC)</w:t>
      </w:r>
      <w:proofErr w:type="gramEnd"/>
      <w:r w:rsidRPr="005E6E22">
        <w:rPr>
          <w:rFonts w:asciiTheme="minorHAnsi" w:hAnsiTheme="minorHAnsi"/>
        </w:rPr>
        <w:t xml:space="preserve">. He contended that his trial attorneys failed to confront and challenge the State’s case, including by contesting the cause of the fire, and instead focused on a legally deficient insanity defense. A superior court judge ruled that the MAR was procedurally barred under </w:t>
      </w:r>
      <w:r w:rsidRPr="00A5074E">
        <w:rPr>
          <w:rFonts w:asciiTheme="minorHAnsi" w:hAnsiTheme="minorHAnsi"/>
          <w:bCs w:val="0"/>
        </w:rPr>
        <w:t>G.S. 15A-1419</w:t>
      </w:r>
      <w:r w:rsidRPr="005E6E22">
        <w:rPr>
          <w:rFonts w:asciiTheme="minorHAnsi" w:hAnsiTheme="minorHAnsi"/>
        </w:rPr>
        <w:t>(a)(3), which precludes claims where “[u]</w:t>
      </w:r>
      <w:proofErr w:type="spellStart"/>
      <w:r w:rsidRPr="005E6E22">
        <w:rPr>
          <w:rFonts w:asciiTheme="minorHAnsi" w:hAnsiTheme="minorHAnsi"/>
        </w:rPr>
        <w:t>pon</w:t>
      </w:r>
      <w:proofErr w:type="spellEnd"/>
      <w:r w:rsidRPr="005E6E22">
        <w:rPr>
          <w:rFonts w:asciiTheme="minorHAnsi" w:hAnsiTheme="minorHAnsi"/>
        </w:rPr>
        <w:t xml:space="preserve"> a previous appeal the defendant was in a position to adequately raise the ground or issue underlying the present motion but did not do so.” The Court of Appeals affirmed.</w:t>
      </w:r>
    </w:p>
    <w:p w14:paraId="39E8FDF2" w14:textId="77777777" w:rsidR="00A5074E" w:rsidRPr="005E6E22" w:rsidRDefault="00A5074E" w:rsidP="005E6E22">
      <w:pPr>
        <w:spacing w:after="0" w:line="240" w:lineRule="auto"/>
        <w:rPr>
          <w:rFonts w:asciiTheme="minorHAnsi" w:hAnsiTheme="minorHAnsi"/>
        </w:rPr>
      </w:pPr>
    </w:p>
    <w:p w14:paraId="3B5551B5" w14:textId="77777777" w:rsidR="00DE3512" w:rsidRDefault="00DE3512" w:rsidP="005E6E22">
      <w:pPr>
        <w:spacing w:after="0" w:line="240" w:lineRule="auto"/>
        <w:rPr>
          <w:rFonts w:asciiTheme="minorHAnsi" w:hAnsiTheme="minorHAnsi"/>
        </w:rPr>
      </w:pPr>
      <w:r w:rsidRPr="005E6E22">
        <w:rPr>
          <w:rFonts w:asciiTheme="minorHAnsi" w:hAnsiTheme="minorHAnsi"/>
        </w:rPr>
        <w:t xml:space="preserve">The Supreme Court of North Carolina granted the defendant’s petition for review. It also affirmed. The majority opinion acknowledged that many IAC claims cannot be adequately raised on direct </w:t>
      </w:r>
      <w:proofErr w:type="gramStart"/>
      <w:r w:rsidRPr="005E6E22">
        <w:rPr>
          <w:rFonts w:asciiTheme="minorHAnsi" w:hAnsiTheme="minorHAnsi"/>
        </w:rPr>
        <w:t>appeal, but</w:t>
      </w:r>
      <w:proofErr w:type="gramEnd"/>
      <w:r w:rsidRPr="005E6E22">
        <w:rPr>
          <w:rFonts w:asciiTheme="minorHAnsi" w:hAnsiTheme="minorHAnsi"/>
        </w:rPr>
        <w:t xml:space="preserve"> stated that when a claim is “apparent from the record,” it must be raised – even if it may be dismissed because further development of facts outside the record is required: “[A] claim that is apparent from the transcript must be brought even if it may ultimately be dismissed for further investigation.” The majority concluded that the defendant’s claims were “apparent from the record,” noting that the defendant’s MAR cited the trial transcript over 200 times and virtually never cited any materials beyond the record, such as affidavits from trial counsel.</w:t>
      </w:r>
    </w:p>
    <w:p w14:paraId="5FAD0754" w14:textId="77777777" w:rsidR="00A5074E" w:rsidRPr="005E6E22" w:rsidRDefault="00A5074E" w:rsidP="005E6E22">
      <w:pPr>
        <w:spacing w:after="0" w:line="240" w:lineRule="auto"/>
        <w:rPr>
          <w:rFonts w:asciiTheme="minorHAnsi" w:hAnsiTheme="minorHAnsi"/>
        </w:rPr>
      </w:pPr>
    </w:p>
    <w:p w14:paraId="532C65B1" w14:textId="77777777" w:rsidR="00DE3512" w:rsidRDefault="00DE3512" w:rsidP="005E6E22">
      <w:pPr>
        <w:spacing w:after="0" w:line="240" w:lineRule="auto"/>
        <w:rPr>
          <w:rFonts w:asciiTheme="minorHAnsi" w:hAnsiTheme="minorHAnsi"/>
        </w:rPr>
      </w:pPr>
      <w:r w:rsidRPr="005E6E22">
        <w:rPr>
          <w:rFonts w:asciiTheme="minorHAnsi" w:hAnsiTheme="minorHAnsi"/>
        </w:rPr>
        <w:t xml:space="preserve">Justice Earls, joined by Justice Riggs, dissented. She would have ruled that an IAC claim is barred under G.S. 15A-1419(a)(3) only when the direct appeal record contains “sufficient information to permit the reviewing court to make all the factual and legal determinations necessary to allow a proper resolution of the claim in question.” If further factual development is required, the claim </w:t>
      </w:r>
      <w:proofErr w:type="gramStart"/>
      <w:r w:rsidRPr="005E6E22">
        <w:rPr>
          <w:rFonts w:asciiTheme="minorHAnsi" w:hAnsiTheme="minorHAnsi"/>
        </w:rPr>
        <w:t>need</w:t>
      </w:r>
      <w:proofErr w:type="gramEnd"/>
      <w:r w:rsidRPr="005E6E22">
        <w:rPr>
          <w:rFonts w:asciiTheme="minorHAnsi" w:hAnsiTheme="minorHAnsi"/>
        </w:rPr>
        <w:t xml:space="preserve"> not be raised. Applying that standard, she would have ruled that the defendant’s IAC claim required an examination of why counsel chose to pursue the insanity defense and what evidence might have been available to challenge the State’s case in other ways. In summary, she viewed the majority’s approach as “</w:t>
      </w:r>
      <w:proofErr w:type="spellStart"/>
      <w:r w:rsidRPr="005E6E22">
        <w:rPr>
          <w:rFonts w:asciiTheme="minorHAnsi" w:hAnsiTheme="minorHAnsi"/>
        </w:rPr>
        <w:t>requir</w:t>
      </w:r>
      <w:proofErr w:type="spellEnd"/>
      <w:r w:rsidRPr="005E6E22">
        <w:rPr>
          <w:rFonts w:asciiTheme="minorHAnsi" w:hAnsiTheme="minorHAnsi"/>
        </w:rPr>
        <w:t>[</w:t>
      </w:r>
      <w:proofErr w:type="spellStart"/>
      <w:r w:rsidRPr="005E6E22">
        <w:rPr>
          <w:rFonts w:asciiTheme="minorHAnsi" w:hAnsiTheme="minorHAnsi"/>
        </w:rPr>
        <w:t>ing</w:t>
      </w:r>
      <w:proofErr w:type="spellEnd"/>
      <w:r w:rsidRPr="005E6E22">
        <w:rPr>
          <w:rFonts w:asciiTheme="minorHAnsi" w:hAnsiTheme="minorHAnsi"/>
        </w:rPr>
        <w:t>] formalistic and perfunctory preservations of rights on direct appeal to skirt a procedural bar.”</w:t>
      </w:r>
    </w:p>
    <w:p w14:paraId="513415C3" w14:textId="77777777" w:rsidR="00A5074E" w:rsidRPr="005E6E22" w:rsidRDefault="00A5074E" w:rsidP="005E6E22">
      <w:pPr>
        <w:spacing w:after="0" w:line="240" w:lineRule="auto"/>
        <w:rPr>
          <w:rFonts w:asciiTheme="minorHAnsi" w:hAnsiTheme="minorHAnsi"/>
        </w:rPr>
      </w:pPr>
    </w:p>
    <w:p w14:paraId="73FA4C4E" w14:textId="6F5BFCD7" w:rsidR="00CC2BF8" w:rsidRPr="005E6E22" w:rsidRDefault="00DE3512" w:rsidP="005E6E22">
      <w:pPr>
        <w:spacing w:after="0" w:line="240" w:lineRule="auto"/>
        <w:rPr>
          <w:rFonts w:asciiTheme="minorHAnsi" w:hAnsiTheme="minorHAnsi"/>
        </w:rPr>
      </w:pPr>
      <w:r w:rsidRPr="005E6E22">
        <w:rPr>
          <w:rFonts w:asciiTheme="minorHAnsi" w:hAnsiTheme="minorHAnsi"/>
        </w:rPr>
        <w:t>A nutshell version of this case might be that the majority held that a defendant is required to present an IAC claim on direct appeal when there is enough evidence in the record to identify the claim, while the dissent would have ruled that a defendant must only do so when there is enough evidence in the record to decide the claim.</w:t>
      </w:r>
    </w:p>
    <w:sectPr w:rsidR="00CC2BF8" w:rsidRPr="005E6E22">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01E0F" w14:textId="77777777" w:rsidR="00E166AF" w:rsidRDefault="00E166AF" w:rsidP="00760A26">
      <w:pPr>
        <w:spacing w:after="0" w:line="240" w:lineRule="auto"/>
      </w:pPr>
      <w:r>
        <w:separator/>
      </w:r>
    </w:p>
  </w:endnote>
  <w:endnote w:type="continuationSeparator" w:id="0">
    <w:p w14:paraId="081CE3CD" w14:textId="77777777" w:rsidR="00E166AF" w:rsidRDefault="00E166AF" w:rsidP="0076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Pro">
    <w:charset w:val="00"/>
    <w:family w:val="roman"/>
    <w:pitch w:val="variable"/>
    <w:sig w:usb0="800002AF" w:usb1="0000000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801538582"/>
      <w:docPartObj>
        <w:docPartGallery w:val="Page Numbers (Bottom of Page)"/>
        <w:docPartUnique/>
      </w:docPartObj>
    </w:sdtPr>
    <w:sdtEndPr>
      <w:rPr>
        <w:noProof/>
      </w:rPr>
    </w:sdtEndPr>
    <w:sdtContent>
      <w:p w14:paraId="5C439C0B" w14:textId="52998F58" w:rsidR="00002B43" w:rsidRPr="00002B43" w:rsidRDefault="00002B43">
        <w:pPr>
          <w:pStyle w:val="Footer"/>
          <w:jc w:val="right"/>
          <w:rPr>
            <w:rFonts w:asciiTheme="minorHAnsi" w:hAnsiTheme="minorHAnsi"/>
          </w:rPr>
        </w:pPr>
        <w:r w:rsidRPr="00002B43">
          <w:rPr>
            <w:rFonts w:asciiTheme="minorHAnsi" w:hAnsiTheme="minorHAnsi"/>
          </w:rPr>
          <w:fldChar w:fldCharType="begin"/>
        </w:r>
        <w:r w:rsidRPr="00002B43">
          <w:rPr>
            <w:rFonts w:asciiTheme="minorHAnsi" w:hAnsiTheme="minorHAnsi"/>
          </w:rPr>
          <w:instrText xml:space="preserve"> PAGE   \* MERGEFORMAT </w:instrText>
        </w:r>
        <w:r w:rsidRPr="00002B43">
          <w:rPr>
            <w:rFonts w:asciiTheme="minorHAnsi" w:hAnsiTheme="minorHAnsi"/>
          </w:rPr>
          <w:fldChar w:fldCharType="separate"/>
        </w:r>
        <w:r w:rsidRPr="00002B43">
          <w:rPr>
            <w:rFonts w:asciiTheme="minorHAnsi" w:hAnsiTheme="minorHAnsi"/>
            <w:noProof/>
          </w:rPr>
          <w:t>2</w:t>
        </w:r>
        <w:r w:rsidRPr="00002B43">
          <w:rPr>
            <w:rFonts w:asciiTheme="minorHAnsi" w:hAnsiTheme="minorHAnsi"/>
            <w:noProof/>
          </w:rPr>
          <w:fldChar w:fldCharType="end"/>
        </w:r>
      </w:p>
    </w:sdtContent>
  </w:sdt>
  <w:p w14:paraId="0303C808" w14:textId="77777777" w:rsidR="00760A26" w:rsidRDefault="00760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F0D4" w14:textId="77777777" w:rsidR="00E166AF" w:rsidRDefault="00E166AF" w:rsidP="00760A26">
      <w:pPr>
        <w:spacing w:after="0" w:line="240" w:lineRule="auto"/>
      </w:pPr>
      <w:r>
        <w:separator/>
      </w:r>
    </w:p>
  </w:footnote>
  <w:footnote w:type="continuationSeparator" w:id="0">
    <w:p w14:paraId="5161CC0E" w14:textId="77777777" w:rsidR="00E166AF" w:rsidRDefault="00E166AF" w:rsidP="00760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D6D"/>
    <w:multiLevelType w:val="hybridMultilevel"/>
    <w:tmpl w:val="6472CEFA"/>
    <w:lvl w:ilvl="0" w:tplc="9550B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F2D86"/>
    <w:multiLevelType w:val="hybridMultilevel"/>
    <w:tmpl w:val="1BC00D12"/>
    <w:lvl w:ilvl="0" w:tplc="19C87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D4BA9"/>
    <w:multiLevelType w:val="hybridMultilevel"/>
    <w:tmpl w:val="81484BF6"/>
    <w:lvl w:ilvl="0" w:tplc="F1FA9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222E43"/>
    <w:multiLevelType w:val="hybridMultilevel"/>
    <w:tmpl w:val="8BE6A2CE"/>
    <w:lvl w:ilvl="0" w:tplc="C1AA16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F661E4"/>
    <w:multiLevelType w:val="hybridMultilevel"/>
    <w:tmpl w:val="086EB4DA"/>
    <w:lvl w:ilvl="0" w:tplc="8A346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A501E"/>
    <w:multiLevelType w:val="hybridMultilevel"/>
    <w:tmpl w:val="78F8463C"/>
    <w:lvl w:ilvl="0" w:tplc="925E8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EA37C3"/>
    <w:multiLevelType w:val="hybridMultilevel"/>
    <w:tmpl w:val="E382875A"/>
    <w:lvl w:ilvl="0" w:tplc="D6AAEA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5F3A0A"/>
    <w:multiLevelType w:val="hybridMultilevel"/>
    <w:tmpl w:val="BEDEC94A"/>
    <w:lvl w:ilvl="0" w:tplc="1D407F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045004">
    <w:abstractNumId w:val="5"/>
  </w:num>
  <w:num w:numId="2" w16cid:durableId="662707329">
    <w:abstractNumId w:val="0"/>
  </w:num>
  <w:num w:numId="3" w16cid:durableId="1124272131">
    <w:abstractNumId w:val="1"/>
  </w:num>
  <w:num w:numId="4" w16cid:durableId="2073263441">
    <w:abstractNumId w:val="3"/>
  </w:num>
  <w:num w:numId="5" w16cid:durableId="617294808">
    <w:abstractNumId w:val="4"/>
  </w:num>
  <w:num w:numId="6" w16cid:durableId="876888194">
    <w:abstractNumId w:val="2"/>
  </w:num>
  <w:num w:numId="7" w16cid:durableId="229581077">
    <w:abstractNumId w:val="6"/>
  </w:num>
  <w:num w:numId="8" w16cid:durableId="134681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3F"/>
    <w:rsid w:val="00002B43"/>
    <w:rsid w:val="000059DC"/>
    <w:rsid w:val="00014990"/>
    <w:rsid w:val="00020B62"/>
    <w:rsid w:val="000243D1"/>
    <w:rsid w:val="00024729"/>
    <w:rsid w:val="00033E77"/>
    <w:rsid w:val="00040839"/>
    <w:rsid w:val="00040A89"/>
    <w:rsid w:val="00053656"/>
    <w:rsid w:val="00064E87"/>
    <w:rsid w:val="00067AF6"/>
    <w:rsid w:val="000823AF"/>
    <w:rsid w:val="000859F1"/>
    <w:rsid w:val="00087390"/>
    <w:rsid w:val="00090C9C"/>
    <w:rsid w:val="00091A0B"/>
    <w:rsid w:val="000977D4"/>
    <w:rsid w:val="0009798F"/>
    <w:rsid w:val="000A2394"/>
    <w:rsid w:val="000A3777"/>
    <w:rsid w:val="000A4A6A"/>
    <w:rsid w:val="000B39FF"/>
    <w:rsid w:val="000D1A90"/>
    <w:rsid w:val="000D4201"/>
    <w:rsid w:val="0011155E"/>
    <w:rsid w:val="00111DAA"/>
    <w:rsid w:val="00123A8B"/>
    <w:rsid w:val="001273F5"/>
    <w:rsid w:val="00130ED7"/>
    <w:rsid w:val="00133A8F"/>
    <w:rsid w:val="001362C1"/>
    <w:rsid w:val="0014039D"/>
    <w:rsid w:val="001541F1"/>
    <w:rsid w:val="00155BFF"/>
    <w:rsid w:val="00161481"/>
    <w:rsid w:val="00171545"/>
    <w:rsid w:val="00174105"/>
    <w:rsid w:val="00180627"/>
    <w:rsid w:val="001859A7"/>
    <w:rsid w:val="00190B47"/>
    <w:rsid w:val="001952DC"/>
    <w:rsid w:val="00195507"/>
    <w:rsid w:val="001A79D1"/>
    <w:rsid w:val="001B531C"/>
    <w:rsid w:val="001B609D"/>
    <w:rsid w:val="001C063E"/>
    <w:rsid w:val="001C244E"/>
    <w:rsid w:val="001C24E7"/>
    <w:rsid w:val="001C70DC"/>
    <w:rsid w:val="001D711A"/>
    <w:rsid w:val="001E5F6A"/>
    <w:rsid w:val="001F003C"/>
    <w:rsid w:val="001F44F2"/>
    <w:rsid w:val="001F596F"/>
    <w:rsid w:val="00201575"/>
    <w:rsid w:val="00201FA4"/>
    <w:rsid w:val="002026CF"/>
    <w:rsid w:val="002124B2"/>
    <w:rsid w:val="00216717"/>
    <w:rsid w:val="00221264"/>
    <w:rsid w:val="00222362"/>
    <w:rsid w:val="00224B15"/>
    <w:rsid w:val="0023435B"/>
    <w:rsid w:val="002379CD"/>
    <w:rsid w:val="00240A59"/>
    <w:rsid w:val="00247D98"/>
    <w:rsid w:val="00250A43"/>
    <w:rsid w:val="00251A8A"/>
    <w:rsid w:val="002527F5"/>
    <w:rsid w:val="0027718E"/>
    <w:rsid w:val="0027758D"/>
    <w:rsid w:val="00280F8B"/>
    <w:rsid w:val="00281CE8"/>
    <w:rsid w:val="002848E7"/>
    <w:rsid w:val="00285911"/>
    <w:rsid w:val="0028628D"/>
    <w:rsid w:val="00291945"/>
    <w:rsid w:val="002B1F5A"/>
    <w:rsid w:val="002B3873"/>
    <w:rsid w:val="002B38CC"/>
    <w:rsid w:val="002B6F3F"/>
    <w:rsid w:val="002C0348"/>
    <w:rsid w:val="002C182E"/>
    <w:rsid w:val="002C2D70"/>
    <w:rsid w:val="002D0BC2"/>
    <w:rsid w:val="002E3752"/>
    <w:rsid w:val="002E4269"/>
    <w:rsid w:val="002F39C7"/>
    <w:rsid w:val="002F6100"/>
    <w:rsid w:val="002F6999"/>
    <w:rsid w:val="002F7C6F"/>
    <w:rsid w:val="0030723F"/>
    <w:rsid w:val="00321787"/>
    <w:rsid w:val="00323971"/>
    <w:rsid w:val="003254B1"/>
    <w:rsid w:val="00330081"/>
    <w:rsid w:val="00332554"/>
    <w:rsid w:val="00336530"/>
    <w:rsid w:val="00343C16"/>
    <w:rsid w:val="003473E3"/>
    <w:rsid w:val="00351773"/>
    <w:rsid w:val="0035408A"/>
    <w:rsid w:val="0036478D"/>
    <w:rsid w:val="003758B7"/>
    <w:rsid w:val="00375A63"/>
    <w:rsid w:val="00386CD9"/>
    <w:rsid w:val="003A0944"/>
    <w:rsid w:val="003A5A82"/>
    <w:rsid w:val="003B1883"/>
    <w:rsid w:val="003B2AD7"/>
    <w:rsid w:val="003C21E6"/>
    <w:rsid w:val="003C48A3"/>
    <w:rsid w:val="003D6B9D"/>
    <w:rsid w:val="003E0B0F"/>
    <w:rsid w:val="003E4F26"/>
    <w:rsid w:val="003E7D4F"/>
    <w:rsid w:val="003F3EFB"/>
    <w:rsid w:val="003F7CAC"/>
    <w:rsid w:val="00411D24"/>
    <w:rsid w:val="00421341"/>
    <w:rsid w:val="0042672E"/>
    <w:rsid w:val="0043221D"/>
    <w:rsid w:val="00440173"/>
    <w:rsid w:val="00445822"/>
    <w:rsid w:val="00450346"/>
    <w:rsid w:val="00452BE5"/>
    <w:rsid w:val="0046034A"/>
    <w:rsid w:val="004615FC"/>
    <w:rsid w:val="00466F96"/>
    <w:rsid w:val="00471343"/>
    <w:rsid w:val="00475523"/>
    <w:rsid w:val="00482A60"/>
    <w:rsid w:val="004929D1"/>
    <w:rsid w:val="004977F6"/>
    <w:rsid w:val="004B42B4"/>
    <w:rsid w:val="004B7E5F"/>
    <w:rsid w:val="004C0781"/>
    <w:rsid w:val="004C5BE3"/>
    <w:rsid w:val="004D06FA"/>
    <w:rsid w:val="004D3FA3"/>
    <w:rsid w:val="004D63BF"/>
    <w:rsid w:val="004D7F15"/>
    <w:rsid w:val="004E05E7"/>
    <w:rsid w:val="0050295C"/>
    <w:rsid w:val="0050541E"/>
    <w:rsid w:val="005107A9"/>
    <w:rsid w:val="00527698"/>
    <w:rsid w:val="00527BB7"/>
    <w:rsid w:val="00533E8D"/>
    <w:rsid w:val="00533FAD"/>
    <w:rsid w:val="0054470C"/>
    <w:rsid w:val="0055323F"/>
    <w:rsid w:val="0055460D"/>
    <w:rsid w:val="00571D9A"/>
    <w:rsid w:val="00574D76"/>
    <w:rsid w:val="00575094"/>
    <w:rsid w:val="00584955"/>
    <w:rsid w:val="005871A4"/>
    <w:rsid w:val="005B030C"/>
    <w:rsid w:val="005B251B"/>
    <w:rsid w:val="005B43F5"/>
    <w:rsid w:val="005B4840"/>
    <w:rsid w:val="005C2A38"/>
    <w:rsid w:val="005E6E22"/>
    <w:rsid w:val="005E77C4"/>
    <w:rsid w:val="005F13A5"/>
    <w:rsid w:val="005F5151"/>
    <w:rsid w:val="00604F02"/>
    <w:rsid w:val="006150A3"/>
    <w:rsid w:val="006156DA"/>
    <w:rsid w:val="00617CF3"/>
    <w:rsid w:val="00617E36"/>
    <w:rsid w:val="006213A1"/>
    <w:rsid w:val="006218C1"/>
    <w:rsid w:val="006328E7"/>
    <w:rsid w:val="00634E5D"/>
    <w:rsid w:val="00640A37"/>
    <w:rsid w:val="00641EB5"/>
    <w:rsid w:val="00644597"/>
    <w:rsid w:val="006478F6"/>
    <w:rsid w:val="00647BF2"/>
    <w:rsid w:val="00656E6C"/>
    <w:rsid w:val="00662A54"/>
    <w:rsid w:val="00671340"/>
    <w:rsid w:val="006731A3"/>
    <w:rsid w:val="00680324"/>
    <w:rsid w:val="006924D5"/>
    <w:rsid w:val="00694125"/>
    <w:rsid w:val="006A1E1F"/>
    <w:rsid w:val="006A3452"/>
    <w:rsid w:val="006B572C"/>
    <w:rsid w:val="006C5012"/>
    <w:rsid w:val="006C6B83"/>
    <w:rsid w:val="006D26E1"/>
    <w:rsid w:val="006D4DA9"/>
    <w:rsid w:val="006D6A6F"/>
    <w:rsid w:val="006E1AC1"/>
    <w:rsid w:val="006E2CD4"/>
    <w:rsid w:val="006E426E"/>
    <w:rsid w:val="006F633B"/>
    <w:rsid w:val="0071312E"/>
    <w:rsid w:val="00720624"/>
    <w:rsid w:val="00756067"/>
    <w:rsid w:val="007575DA"/>
    <w:rsid w:val="00760A26"/>
    <w:rsid w:val="007677F8"/>
    <w:rsid w:val="0077032A"/>
    <w:rsid w:val="00770421"/>
    <w:rsid w:val="007705CF"/>
    <w:rsid w:val="00786671"/>
    <w:rsid w:val="007914F8"/>
    <w:rsid w:val="00795E26"/>
    <w:rsid w:val="00795E68"/>
    <w:rsid w:val="00796EB0"/>
    <w:rsid w:val="00797BB0"/>
    <w:rsid w:val="00797C11"/>
    <w:rsid w:val="007A1FFA"/>
    <w:rsid w:val="007A2136"/>
    <w:rsid w:val="007A405F"/>
    <w:rsid w:val="007B212A"/>
    <w:rsid w:val="007C3317"/>
    <w:rsid w:val="007C3B03"/>
    <w:rsid w:val="007C5D18"/>
    <w:rsid w:val="007D4DCA"/>
    <w:rsid w:val="007D70E4"/>
    <w:rsid w:val="007E09FB"/>
    <w:rsid w:val="007E1EEB"/>
    <w:rsid w:val="007F48BC"/>
    <w:rsid w:val="007F4AF1"/>
    <w:rsid w:val="00801A9D"/>
    <w:rsid w:val="008023E2"/>
    <w:rsid w:val="008047C6"/>
    <w:rsid w:val="00812F3F"/>
    <w:rsid w:val="00815FC0"/>
    <w:rsid w:val="0082594F"/>
    <w:rsid w:val="00826BF4"/>
    <w:rsid w:val="00834DED"/>
    <w:rsid w:val="00836A15"/>
    <w:rsid w:val="00841245"/>
    <w:rsid w:val="008416A9"/>
    <w:rsid w:val="00846062"/>
    <w:rsid w:val="00851D82"/>
    <w:rsid w:val="00861BFD"/>
    <w:rsid w:val="008979FD"/>
    <w:rsid w:val="008A3F94"/>
    <w:rsid w:val="008B001F"/>
    <w:rsid w:val="008B5254"/>
    <w:rsid w:val="008B53F0"/>
    <w:rsid w:val="008B696E"/>
    <w:rsid w:val="008B6A95"/>
    <w:rsid w:val="008C0E4C"/>
    <w:rsid w:val="008D04F8"/>
    <w:rsid w:val="008D09EB"/>
    <w:rsid w:val="008D12B7"/>
    <w:rsid w:val="008D423C"/>
    <w:rsid w:val="008D738A"/>
    <w:rsid w:val="008E09CA"/>
    <w:rsid w:val="008E2569"/>
    <w:rsid w:val="008E724B"/>
    <w:rsid w:val="008E729C"/>
    <w:rsid w:val="008F5A4C"/>
    <w:rsid w:val="009027B3"/>
    <w:rsid w:val="009037AE"/>
    <w:rsid w:val="009068FB"/>
    <w:rsid w:val="00915096"/>
    <w:rsid w:val="00924DFB"/>
    <w:rsid w:val="009263E9"/>
    <w:rsid w:val="009263F5"/>
    <w:rsid w:val="009268B9"/>
    <w:rsid w:val="00934B46"/>
    <w:rsid w:val="00937D7E"/>
    <w:rsid w:val="0094152A"/>
    <w:rsid w:val="00942264"/>
    <w:rsid w:val="00943E05"/>
    <w:rsid w:val="0095000C"/>
    <w:rsid w:val="00950791"/>
    <w:rsid w:val="00964AE2"/>
    <w:rsid w:val="00966532"/>
    <w:rsid w:val="009666C1"/>
    <w:rsid w:val="0098001F"/>
    <w:rsid w:val="00980294"/>
    <w:rsid w:val="00980CF9"/>
    <w:rsid w:val="00981498"/>
    <w:rsid w:val="009852B9"/>
    <w:rsid w:val="00993E9C"/>
    <w:rsid w:val="009A09FA"/>
    <w:rsid w:val="009A3424"/>
    <w:rsid w:val="009B04A3"/>
    <w:rsid w:val="009B293A"/>
    <w:rsid w:val="009C1C70"/>
    <w:rsid w:val="009C1DED"/>
    <w:rsid w:val="009C2D79"/>
    <w:rsid w:val="009D27F3"/>
    <w:rsid w:val="009E6614"/>
    <w:rsid w:val="009F08D1"/>
    <w:rsid w:val="009F410E"/>
    <w:rsid w:val="00A0556C"/>
    <w:rsid w:val="00A370E9"/>
    <w:rsid w:val="00A42072"/>
    <w:rsid w:val="00A46E66"/>
    <w:rsid w:val="00A5074E"/>
    <w:rsid w:val="00A674E2"/>
    <w:rsid w:val="00A743B6"/>
    <w:rsid w:val="00A75495"/>
    <w:rsid w:val="00A82FA6"/>
    <w:rsid w:val="00A831CB"/>
    <w:rsid w:val="00A8389A"/>
    <w:rsid w:val="00A856ED"/>
    <w:rsid w:val="00A85B9F"/>
    <w:rsid w:val="00A86401"/>
    <w:rsid w:val="00A92D37"/>
    <w:rsid w:val="00AB1938"/>
    <w:rsid w:val="00AB6BD5"/>
    <w:rsid w:val="00AC225B"/>
    <w:rsid w:val="00AC45B4"/>
    <w:rsid w:val="00AE1F2A"/>
    <w:rsid w:val="00AE4BA5"/>
    <w:rsid w:val="00AE7695"/>
    <w:rsid w:val="00B04D90"/>
    <w:rsid w:val="00B0549D"/>
    <w:rsid w:val="00B106B2"/>
    <w:rsid w:val="00B11471"/>
    <w:rsid w:val="00B208B9"/>
    <w:rsid w:val="00B301E7"/>
    <w:rsid w:val="00B404F8"/>
    <w:rsid w:val="00B42802"/>
    <w:rsid w:val="00B43268"/>
    <w:rsid w:val="00B44A09"/>
    <w:rsid w:val="00B456DB"/>
    <w:rsid w:val="00B6379D"/>
    <w:rsid w:val="00B63DAB"/>
    <w:rsid w:val="00B72A1A"/>
    <w:rsid w:val="00B73BA7"/>
    <w:rsid w:val="00B7437C"/>
    <w:rsid w:val="00B860BB"/>
    <w:rsid w:val="00B877C4"/>
    <w:rsid w:val="00B9455B"/>
    <w:rsid w:val="00B96FC8"/>
    <w:rsid w:val="00BA0C6C"/>
    <w:rsid w:val="00BA3145"/>
    <w:rsid w:val="00BB2489"/>
    <w:rsid w:val="00BB2996"/>
    <w:rsid w:val="00BE336E"/>
    <w:rsid w:val="00BE465F"/>
    <w:rsid w:val="00BF34F7"/>
    <w:rsid w:val="00C029C3"/>
    <w:rsid w:val="00C032E4"/>
    <w:rsid w:val="00C06CD2"/>
    <w:rsid w:val="00C16BDD"/>
    <w:rsid w:val="00C2047C"/>
    <w:rsid w:val="00C41F9A"/>
    <w:rsid w:val="00C466C2"/>
    <w:rsid w:val="00C51117"/>
    <w:rsid w:val="00C516D6"/>
    <w:rsid w:val="00C5342A"/>
    <w:rsid w:val="00C55C30"/>
    <w:rsid w:val="00C62E3F"/>
    <w:rsid w:val="00C71678"/>
    <w:rsid w:val="00C9096B"/>
    <w:rsid w:val="00C91023"/>
    <w:rsid w:val="00C94BAB"/>
    <w:rsid w:val="00C95268"/>
    <w:rsid w:val="00C95CC7"/>
    <w:rsid w:val="00CA25F3"/>
    <w:rsid w:val="00CA5F8B"/>
    <w:rsid w:val="00CB053D"/>
    <w:rsid w:val="00CB6F08"/>
    <w:rsid w:val="00CC2819"/>
    <w:rsid w:val="00CC2BF8"/>
    <w:rsid w:val="00CC2F00"/>
    <w:rsid w:val="00CC35DA"/>
    <w:rsid w:val="00CC46D1"/>
    <w:rsid w:val="00CC75AB"/>
    <w:rsid w:val="00CC7792"/>
    <w:rsid w:val="00CD1A31"/>
    <w:rsid w:val="00CD654D"/>
    <w:rsid w:val="00CD6EB9"/>
    <w:rsid w:val="00CE01EE"/>
    <w:rsid w:val="00CE0EF3"/>
    <w:rsid w:val="00CE1294"/>
    <w:rsid w:val="00CF076F"/>
    <w:rsid w:val="00D074D5"/>
    <w:rsid w:val="00D208E4"/>
    <w:rsid w:val="00D214E9"/>
    <w:rsid w:val="00D2760E"/>
    <w:rsid w:val="00D400DE"/>
    <w:rsid w:val="00D405AE"/>
    <w:rsid w:val="00D4295E"/>
    <w:rsid w:val="00D578D4"/>
    <w:rsid w:val="00D62F8B"/>
    <w:rsid w:val="00D63AE4"/>
    <w:rsid w:val="00D64268"/>
    <w:rsid w:val="00D667A3"/>
    <w:rsid w:val="00D66EE7"/>
    <w:rsid w:val="00D76DD2"/>
    <w:rsid w:val="00D80882"/>
    <w:rsid w:val="00DA3862"/>
    <w:rsid w:val="00DA7789"/>
    <w:rsid w:val="00DB2094"/>
    <w:rsid w:val="00DB4B78"/>
    <w:rsid w:val="00DC0984"/>
    <w:rsid w:val="00DD29C1"/>
    <w:rsid w:val="00DD427B"/>
    <w:rsid w:val="00DD7D2C"/>
    <w:rsid w:val="00DE3512"/>
    <w:rsid w:val="00DF751F"/>
    <w:rsid w:val="00E01652"/>
    <w:rsid w:val="00E02E73"/>
    <w:rsid w:val="00E035D3"/>
    <w:rsid w:val="00E04595"/>
    <w:rsid w:val="00E05368"/>
    <w:rsid w:val="00E14A28"/>
    <w:rsid w:val="00E166AF"/>
    <w:rsid w:val="00E215FB"/>
    <w:rsid w:val="00E30C51"/>
    <w:rsid w:val="00E31676"/>
    <w:rsid w:val="00E52FB0"/>
    <w:rsid w:val="00E54A16"/>
    <w:rsid w:val="00E55317"/>
    <w:rsid w:val="00E65BCE"/>
    <w:rsid w:val="00E80049"/>
    <w:rsid w:val="00E821CE"/>
    <w:rsid w:val="00E84147"/>
    <w:rsid w:val="00E85744"/>
    <w:rsid w:val="00E92EAA"/>
    <w:rsid w:val="00E94F35"/>
    <w:rsid w:val="00EB0B04"/>
    <w:rsid w:val="00EB1DFA"/>
    <w:rsid w:val="00EB20EE"/>
    <w:rsid w:val="00EB7E4E"/>
    <w:rsid w:val="00ED5EFE"/>
    <w:rsid w:val="00ED7EED"/>
    <w:rsid w:val="00EF5E16"/>
    <w:rsid w:val="00EF6C33"/>
    <w:rsid w:val="00EF70C3"/>
    <w:rsid w:val="00F04FF7"/>
    <w:rsid w:val="00F0799A"/>
    <w:rsid w:val="00F100EC"/>
    <w:rsid w:val="00F12907"/>
    <w:rsid w:val="00F13B23"/>
    <w:rsid w:val="00F2338A"/>
    <w:rsid w:val="00F25C00"/>
    <w:rsid w:val="00F36B12"/>
    <w:rsid w:val="00F37382"/>
    <w:rsid w:val="00F44487"/>
    <w:rsid w:val="00F46522"/>
    <w:rsid w:val="00F50F19"/>
    <w:rsid w:val="00F514FE"/>
    <w:rsid w:val="00F5651C"/>
    <w:rsid w:val="00F737F9"/>
    <w:rsid w:val="00F76264"/>
    <w:rsid w:val="00F973CC"/>
    <w:rsid w:val="00F97982"/>
    <w:rsid w:val="00FA1EDB"/>
    <w:rsid w:val="00FA2991"/>
    <w:rsid w:val="00FA4815"/>
    <w:rsid w:val="00FB2824"/>
    <w:rsid w:val="00FB7BD7"/>
    <w:rsid w:val="00FC1155"/>
    <w:rsid w:val="00FC302C"/>
    <w:rsid w:val="00FC7CC5"/>
    <w:rsid w:val="00FD23A0"/>
    <w:rsid w:val="00FE3206"/>
    <w:rsid w:val="00FE6E45"/>
    <w:rsid w:val="00FF4112"/>
    <w:rsid w:val="00FF4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F73A"/>
  <w15:chartTrackingRefBased/>
  <w15:docId w15:val="{020724B0-E163-4472-99C7-86FDB031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F3F"/>
    <w:pPr>
      <w:spacing w:line="259" w:lineRule="auto"/>
    </w:pPr>
    <w:rPr>
      <w:rFonts w:ascii="Georgia Pro" w:hAnsi="Georgia Pro"/>
      <w:bCs/>
      <w:kern w:val="0"/>
      <w14:ligatures w14:val="none"/>
    </w:rPr>
  </w:style>
  <w:style w:type="paragraph" w:styleId="Heading1">
    <w:name w:val="heading 1"/>
    <w:basedOn w:val="Normal"/>
    <w:next w:val="Normal"/>
    <w:link w:val="Heading1Char"/>
    <w:uiPriority w:val="9"/>
    <w:qFormat/>
    <w:rsid w:val="00812F3F"/>
    <w:pPr>
      <w:keepNext/>
      <w:keepLines/>
      <w:spacing w:before="360" w:after="80" w:line="278" w:lineRule="auto"/>
      <w:outlineLvl w:val="0"/>
    </w:pPr>
    <w:rPr>
      <w:rFonts w:asciiTheme="majorHAnsi" w:eastAsiaTheme="majorEastAsia" w:hAnsiTheme="majorHAnsi" w:cstheme="majorBidi"/>
      <w:bCs w:val="0"/>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12F3F"/>
    <w:pPr>
      <w:keepNext/>
      <w:keepLines/>
      <w:spacing w:before="160" w:after="80" w:line="278" w:lineRule="auto"/>
      <w:outlineLvl w:val="1"/>
    </w:pPr>
    <w:rPr>
      <w:rFonts w:asciiTheme="majorHAnsi" w:eastAsiaTheme="majorEastAsia" w:hAnsiTheme="majorHAnsi" w:cstheme="majorBidi"/>
      <w:bCs w:val="0"/>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12F3F"/>
    <w:pPr>
      <w:keepNext/>
      <w:keepLines/>
      <w:spacing w:before="160" w:after="80" w:line="278" w:lineRule="auto"/>
      <w:outlineLvl w:val="2"/>
    </w:pPr>
    <w:rPr>
      <w:rFonts w:asciiTheme="minorHAnsi" w:eastAsiaTheme="majorEastAsia" w:hAnsiTheme="minorHAnsi" w:cstheme="majorBidi"/>
      <w:bCs w:val="0"/>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12F3F"/>
    <w:pPr>
      <w:keepNext/>
      <w:keepLines/>
      <w:spacing w:before="80" w:after="40" w:line="278" w:lineRule="auto"/>
      <w:outlineLvl w:val="3"/>
    </w:pPr>
    <w:rPr>
      <w:rFonts w:asciiTheme="minorHAnsi" w:eastAsiaTheme="majorEastAsia" w:hAnsiTheme="minorHAnsi" w:cstheme="majorBidi"/>
      <w:bCs w:val="0"/>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12F3F"/>
    <w:pPr>
      <w:keepNext/>
      <w:keepLines/>
      <w:spacing w:before="80" w:after="40" w:line="278" w:lineRule="auto"/>
      <w:outlineLvl w:val="4"/>
    </w:pPr>
    <w:rPr>
      <w:rFonts w:asciiTheme="minorHAnsi" w:eastAsiaTheme="majorEastAsia" w:hAnsiTheme="minorHAnsi" w:cstheme="majorBidi"/>
      <w:bCs w:val="0"/>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12F3F"/>
    <w:pPr>
      <w:keepNext/>
      <w:keepLines/>
      <w:spacing w:before="40" w:after="0" w:line="278" w:lineRule="auto"/>
      <w:outlineLvl w:val="5"/>
    </w:pPr>
    <w:rPr>
      <w:rFonts w:asciiTheme="minorHAnsi" w:eastAsiaTheme="majorEastAsia" w:hAnsiTheme="minorHAnsi" w:cstheme="majorBidi"/>
      <w:bCs w:val="0"/>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12F3F"/>
    <w:pPr>
      <w:keepNext/>
      <w:keepLines/>
      <w:spacing w:before="40" w:after="0" w:line="278" w:lineRule="auto"/>
      <w:outlineLvl w:val="6"/>
    </w:pPr>
    <w:rPr>
      <w:rFonts w:asciiTheme="minorHAnsi" w:eastAsiaTheme="majorEastAsia" w:hAnsiTheme="minorHAnsi" w:cstheme="majorBidi"/>
      <w:bCs w:val="0"/>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12F3F"/>
    <w:pPr>
      <w:keepNext/>
      <w:keepLines/>
      <w:spacing w:after="0" w:line="278" w:lineRule="auto"/>
      <w:outlineLvl w:val="7"/>
    </w:pPr>
    <w:rPr>
      <w:rFonts w:asciiTheme="minorHAnsi" w:eastAsiaTheme="majorEastAsia" w:hAnsiTheme="minorHAnsi" w:cstheme="majorBidi"/>
      <w:bCs w:val="0"/>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12F3F"/>
    <w:pPr>
      <w:keepNext/>
      <w:keepLines/>
      <w:spacing w:after="0" w:line="278" w:lineRule="auto"/>
      <w:outlineLvl w:val="8"/>
    </w:pPr>
    <w:rPr>
      <w:rFonts w:asciiTheme="minorHAnsi" w:eastAsiaTheme="majorEastAsia" w:hAnsiTheme="minorHAnsi" w:cstheme="majorBidi"/>
      <w:bCs w:val="0"/>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2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F3F"/>
    <w:rPr>
      <w:rFonts w:eastAsiaTheme="majorEastAsia" w:cstheme="majorBidi"/>
      <w:color w:val="272727" w:themeColor="text1" w:themeTint="D8"/>
    </w:rPr>
  </w:style>
  <w:style w:type="paragraph" w:styleId="Title">
    <w:name w:val="Title"/>
    <w:basedOn w:val="Normal"/>
    <w:next w:val="Normal"/>
    <w:link w:val="TitleChar"/>
    <w:uiPriority w:val="10"/>
    <w:qFormat/>
    <w:rsid w:val="00812F3F"/>
    <w:pPr>
      <w:spacing w:after="80" w:line="240" w:lineRule="auto"/>
      <w:contextualSpacing/>
    </w:pPr>
    <w:rPr>
      <w:rFonts w:asciiTheme="majorHAnsi" w:eastAsiaTheme="majorEastAsia" w:hAnsiTheme="majorHAnsi" w:cstheme="majorBidi"/>
      <w:bCs w:val="0"/>
      <w:spacing w:val="-10"/>
      <w:kern w:val="28"/>
      <w:sz w:val="56"/>
      <w:szCs w:val="56"/>
      <w14:ligatures w14:val="standardContextual"/>
    </w:rPr>
  </w:style>
  <w:style w:type="character" w:customStyle="1" w:styleId="TitleChar">
    <w:name w:val="Title Char"/>
    <w:basedOn w:val="DefaultParagraphFont"/>
    <w:link w:val="Title"/>
    <w:uiPriority w:val="10"/>
    <w:rsid w:val="00812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F3F"/>
    <w:pPr>
      <w:numPr>
        <w:ilvl w:val="1"/>
      </w:numPr>
      <w:spacing w:line="278" w:lineRule="auto"/>
    </w:pPr>
    <w:rPr>
      <w:rFonts w:asciiTheme="minorHAnsi" w:eastAsiaTheme="majorEastAsia" w:hAnsiTheme="minorHAnsi" w:cstheme="majorBidi"/>
      <w:bCs w:val="0"/>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2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F3F"/>
    <w:pPr>
      <w:spacing w:before="160" w:line="278" w:lineRule="auto"/>
      <w:jc w:val="center"/>
    </w:pPr>
    <w:rPr>
      <w:rFonts w:asciiTheme="minorHAnsi" w:hAnsiTheme="minorHAnsi"/>
      <w:bCs w:val="0"/>
      <w:i/>
      <w:iCs/>
      <w:color w:val="404040" w:themeColor="text1" w:themeTint="BF"/>
      <w:kern w:val="2"/>
      <w14:ligatures w14:val="standardContextual"/>
    </w:rPr>
  </w:style>
  <w:style w:type="character" w:customStyle="1" w:styleId="QuoteChar">
    <w:name w:val="Quote Char"/>
    <w:basedOn w:val="DefaultParagraphFont"/>
    <w:link w:val="Quote"/>
    <w:uiPriority w:val="29"/>
    <w:rsid w:val="00812F3F"/>
    <w:rPr>
      <w:i/>
      <w:iCs/>
      <w:color w:val="404040" w:themeColor="text1" w:themeTint="BF"/>
    </w:rPr>
  </w:style>
  <w:style w:type="paragraph" w:styleId="ListParagraph">
    <w:name w:val="List Paragraph"/>
    <w:basedOn w:val="Normal"/>
    <w:uiPriority w:val="34"/>
    <w:qFormat/>
    <w:rsid w:val="00812F3F"/>
    <w:pPr>
      <w:spacing w:line="278" w:lineRule="auto"/>
      <w:ind w:left="720"/>
      <w:contextualSpacing/>
    </w:pPr>
    <w:rPr>
      <w:rFonts w:asciiTheme="minorHAnsi" w:hAnsiTheme="minorHAnsi"/>
      <w:bCs w:val="0"/>
      <w:kern w:val="2"/>
      <w14:ligatures w14:val="standardContextual"/>
    </w:rPr>
  </w:style>
  <w:style w:type="character" w:styleId="IntenseEmphasis">
    <w:name w:val="Intense Emphasis"/>
    <w:basedOn w:val="DefaultParagraphFont"/>
    <w:uiPriority w:val="21"/>
    <w:qFormat/>
    <w:rsid w:val="00812F3F"/>
    <w:rPr>
      <w:i/>
      <w:iCs/>
      <w:color w:val="0F4761" w:themeColor="accent1" w:themeShade="BF"/>
    </w:rPr>
  </w:style>
  <w:style w:type="paragraph" w:styleId="IntenseQuote">
    <w:name w:val="Intense Quote"/>
    <w:basedOn w:val="Normal"/>
    <w:next w:val="Normal"/>
    <w:link w:val="IntenseQuoteChar"/>
    <w:uiPriority w:val="30"/>
    <w:qFormat/>
    <w:rsid w:val="00812F3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bCs w:val="0"/>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12F3F"/>
    <w:rPr>
      <w:i/>
      <w:iCs/>
      <w:color w:val="0F4761" w:themeColor="accent1" w:themeShade="BF"/>
    </w:rPr>
  </w:style>
  <w:style w:type="character" w:styleId="IntenseReference">
    <w:name w:val="Intense Reference"/>
    <w:basedOn w:val="DefaultParagraphFont"/>
    <w:uiPriority w:val="32"/>
    <w:qFormat/>
    <w:rsid w:val="00812F3F"/>
    <w:rPr>
      <w:b/>
      <w:bCs/>
      <w:smallCaps/>
      <w:color w:val="0F4761" w:themeColor="accent1" w:themeShade="BF"/>
      <w:spacing w:val="5"/>
    </w:rPr>
  </w:style>
  <w:style w:type="character" w:styleId="Hyperlink">
    <w:name w:val="Hyperlink"/>
    <w:basedOn w:val="DefaultParagraphFont"/>
    <w:uiPriority w:val="99"/>
    <w:unhideWhenUsed/>
    <w:rsid w:val="00812F3F"/>
    <w:rPr>
      <w:color w:val="0000FF"/>
      <w:u w:val="single"/>
    </w:rPr>
  </w:style>
  <w:style w:type="paragraph" w:styleId="Header">
    <w:name w:val="header"/>
    <w:basedOn w:val="Normal"/>
    <w:link w:val="HeaderChar"/>
    <w:uiPriority w:val="99"/>
    <w:unhideWhenUsed/>
    <w:rsid w:val="0076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A26"/>
    <w:rPr>
      <w:rFonts w:ascii="Georgia Pro" w:hAnsi="Georgia Pro"/>
      <w:bCs/>
      <w:kern w:val="0"/>
      <w14:ligatures w14:val="none"/>
    </w:rPr>
  </w:style>
  <w:style w:type="paragraph" w:styleId="Footer">
    <w:name w:val="footer"/>
    <w:basedOn w:val="Normal"/>
    <w:link w:val="FooterChar"/>
    <w:uiPriority w:val="99"/>
    <w:unhideWhenUsed/>
    <w:rsid w:val="0076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A26"/>
    <w:rPr>
      <w:rFonts w:ascii="Georgia Pro" w:hAnsi="Georgia Pro"/>
      <w:bCs/>
      <w:kern w:val="0"/>
      <w14:ligatures w14:val="none"/>
    </w:rPr>
  </w:style>
  <w:style w:type="paragraph" w:styleId="TOC1">
    <w:name w:val="toc 1"/>
    <w:basedOn w:val="Normal"/>
    <w:next w:val="Normal"/>
    <w:autoRedefine/>
    <w:uiPriority w:val="39"/>
    <w:unhideWhenUsed/>
    <w:rsid w:val="00C16BDD"/>
    <w:pPr>
      <w:tabs>
        <w:tab w:val="right" w:leader="dot" w:pos="9350"/>
      </w:tabs>
      <w:spacing w:after="0" w:line="240" w:lineRule="auto"/>
      <w:contextualSpacing/>
    </w:pPr>
    <w:rPr>
      <w:rFonts w:asciiTheme="minorHAnsi" w:hAnsiTheme="minorHAnsi"/>
      <w:noProof/>
    </w:rPr>
  </w:style>
  <w:style w:type="paragraph" w:styleId="TOC2">
    <w:name w:val="toc 2"/>
    <w:basedOn w:val="Normal"/>
    <w:next w:val="Normal"/>
    <w:autoRedefine/>
    <w:uiPriority w:val="39"/>
    <w:unhideWhenUsed/>
    <w:rsid w:val="00656E6C"/>
    <w:pPr>
      <w:tabs>
        <w:tab w:val="right" w:leader="dot" w:pos="9350"/>
      </w:tabs>
      <w:spacing w:after="0" w:line="240" w:lineRule="auto"/>
      <w:ind w:left="245"/>
    </w:pPr>
  </w:style>
  <w:style w:type="character" w:styleId="UnresolvedMention">
    <w:name w:val="Unresolved Mention"/>
    <w:basedOn w:val="DefaultParagraphFont"/>
    <w:uiPriority w:val="99"/>
    <w:semiHidden/>
    <w:unhideWhenUsed/>
    <w:rsid w:val="00A831CB"/>
    <w:rPr>
      <w:color w:val="605E5C"/>
      <w:shd w:val="clear" w:color="auto" w:fill="E1DFDD"/>
    </w:rPr>
  </w:style>
  <w:style w:type="paragraph" w:styleId="NormalWeb">
    <w:name w:val="Normal (Web)"/>
    <w:basedOn w:val="Normal"/>
    <w:uiPriority w:val="99"/>
    <w:semiHidden/>
    <w:unhideWhenUsed/>
    <w:rsid w:val="002F6100"/>
    <w:rPr>
      <w:rFonts w:ascii="Times New Roman" w:hAnsi="Times New Roman" w:cs="Times New Roman"/>
    </w:rPr>
  </w:style>
  <w:style w:type="paragraph" w:styleId="Revision">
    <w:name w:val="Revision"/>
    <w:hidden/>
    <w:uiPriority w:val="99"/>
    <w:semiHidden/>
    <w:rsid w:val="006D4DA9"/>
    <w:pPr>
      <w:spacing w:after="0" w:line="240" w:lineRule="auto"/>
    </w:pPr>
    <w:rPr>
      <w:rFonts w:ascii="Georgia Pro" w:hAnsi="Georgia Pro"/>
      <w:bCs/>
      <w:kern w:val="0"/>
      <w14:ligatures w14:val="none"/>
    </w:rPr>
  </w:style>
  <w:style w:type="character" w:styleId="FollowedHyperlink">
    <w:name w:val="FollowedHyperlink"/>
    <w:basedOn w:val="DefaultParagraphFont"/>
    <w:uiPriority w:val="99"/>
    <w:semiHidden/>
    <w:unhideWhenUsed/>
    <w:rsid w:val="000D42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premecourt.gov/opinions/25pdf/24-1234_g2bh.pdf" TargetMode="External"/><Relationship Id="rId13" Type="http://schemas.openxmlformats.org/officeDocument/2006/relationships/hyperlink" Target="https://appellate.nccourts.org/opinions/?c=2&amp;pdf=44848" TargetMode="External"/><Relationship Id="rId18" Type="http://schemas.openxmlformats.org/officeDocument/2006/relationships/hyperlink" Target="https://appellate.nccourts.org/opinions/?c=1&amp;pdf=46067" TargetMode="External"/><Relationship Id="rId26" Type="http://schemas.openxmlformats.org/officeDocument/2006/relationships/hyperlink" Target="https://www.supremecourt.gov/opinions/25pdf/24-1046_nmio.pdf" TargetMode="External"/><Relationship Id="rId3" Type="http://schemas.openxmlformats.org/officeDocument/2006/relationships/styles" Target="styles.xml"/><Relationship Id="rId21" Type="http://schemas.openxmlformats.org/officeDocument/2006/relationships/hyperlink" Target="https://appellate.nccourts.org/opinions/?c=1&amp;pdf=46061" TargetMode="External"/><Relationship Id="rId7" Type="http://schemas.openxmlformats.org/officeDocument/2006/relationships/endnotes" Target="endnotes.xml"/><Relationship Id="rId12" Type="http://schemas.openxmlformats.org/officeDocument/2006/relationships/hyperlink" Target="https://appellate.nccourts.org/opinions/?c=1&amp;pdf=46072" TargetMode="External"/><Relationship Id="rId17" Type="http://schemas.openxmlformats.org/officeDocument/2006/relationships/hyperlink" Target="https://appellate.nccourts.org/opinions/?c=1&amp;pdf=46070" TargetMode="External"/><Relationship Id="rId25" Type="http://schemas.openxmlformats.org/officeDocument/2006/relationships/hyperlink" Target="https://appellate.nccourts.org/opinions/?c=2&amp;pdf=44364" TargetMode="External"/><Relationship Id="rId2" Type="http://schemas.openxmlformats.org/officeDocument/2006/relationships/numbering" Target="numbering.xml"/><Relationship Id="rId16" Type="http://schemas.openxmlformats.org/officeDocument/2006/relationships/hyperlink" Target="https://appellate.nccourts.org/opinions/?c=1&amp;pdf=46057" TargetMode="External"/><Relationship Id="rId20" Type="http://schemas.openxmlformats.org/officeDocument/2006/relationships/hyperlink" Target="https://appellate.nccourts.org/opinions/?c=2&amp;pdf=459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ellate.nccourts.org/opinions/?c=1&amp;pdf=46065" TargetMode="External"/><Relationship Id="rId24" Type="http://schemas.openxmlformats.org/officeDocument/2006/relationships/hyperlink" Target="https://appellate.nccourts.org/opinions/?c=1&amp;pdf=46069" TargetMode="External"/><Relationship Id="rId5" Type="http://schemas.openxmlformats.org/officeDocument/2006/relationships/webSettings" Target="webSettings.xml"/><Relationship Id="rId15" Type="http://schemas.openxmlformats.org/officeDocument/2006/relationships/hyperlink" Target="https://appellate.nccourts.org/opinions/?c=1&amp;pdf=46062" TargetMode="External"/><Relationship Id="rId23" Type="http://schemas.openxmlformats.org/officeDocument/2006/relationships/hyperlink" Target="https://appellate.nccourts.org/opinions/?c=2&amp;pdf=45839" TargetMode="External"/><Relationship Id="rId28" Type="http://schemas.openxmlformats.org/officeDocument/2006/relationships/footer" Target="footer1.xml"/><Relationship Id="rId10" Type="http://schemas.openxmlformats.org/officeDocument/2006/relationships/hyperlink" Target="https://www.supremecourt.gov/opinions/25pdf/25-112_0am4.pdf" TargetMode="External"/><Relationship Id="rId19" Type="http://schemas.openxmlformats.org/officeDocument/2006/relationships/hyperlink" Target="https://appellate.nccourts.org/opinions/?c=2&amp;pdf=45769" TargetMode="External"/><Relationship Id="rId4" Type="http://schemas.openxmlformats.org/officeDocument/2006/relationships/settings" Target="settings.xml"/><Relationship Id="rId9" Type="http://schemas.openxmlformats.org/officeDocument/2006/relationships/hyperlink" Target="https://www.supremecourt.gov/opinions/25pdf/24-1046_nmio.pdf" TargetMode="External"/><Relationship Id="rId14" Type="http://schemas.openxmlformats.org/officeDocument/2006/relationships/hyperlink" Target="https://appellate.nccourts.org/opinions/?c=2&amp;pdf=44820" TargetMode="External"/><Relationship Id="rId22" Type="http://schemas.openxmlformats.org/officeDocument/2006/relationships/hyperlink" Target="https://appellate.nccourts.org/opinions/?c=2&amp;pdf=45951" TargetMode="External"/><Relationship Id="rId27" Type="http://schemas.openxmlformats.org/officeDocument/2006/relationships/hyperlink" Target="https://appellate.nccourts.org/opinions/?c=1&amp;pdf=46056"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14B06-2894-44C7-8BFC-BF0BB18E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13125</Words>
  <Characters>74815</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Markham, James M</dc:creator>
  <cp:keywords/>
  <dc:description/>
  <cp:lastModifiedBy>Denning, Shea R.</cp:lastModifiedBy>
  <cp:revision>15</cp:revision>
  <cp:lastPrinted>2025-10-06T18:06:00Z</cp:lastPrinted>
  <dcterms:created xsi:type="dcterms:W3CDTF">2026-10-04T20:28:00Z</dcterms:created>
  <dcterms:modified xsi:type="dcterms:W3CDTF">2026-10-05T19:15:00Z</dcterms:modified>
</cp:coreProperties>
</file>