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AC" w:rsidRPr="007C2652" w:rsidRDefault="00E74FAC" w:rsidP="00E74FAC">
      <w:pPr>
        <w:rPr>
          <w:rFonts w:asciiTheme="majorHAnsi" w:hAnsiTheme="majorHAnsi" w:cstheme="majorHAnsi"/>
          <w:color w:val="2F5496" w:themeColor="accent5" w:themeShade="BF"/>
        </w:rPr>
      </w:pPr>
      <w:r w:rsidRPr="007C2652">
        <w:rPr>
          <w:rFonts w:asciiTheme="majorHAnsi" w:hAnsiTheme="majorHAnsi" w:cstheme="majorHAnsi"/>
          <w:color w:val="2F5496" w:themeColor="accent5" w:themeShade="BF"/>
        </w:rPr>
        <w:t xml:space="preserve">Advanced Family Law for </w:t>
      </w:r>
      <w:r w:rsidR="007C2652" w:rsidRPr="007C2652">
        <w:rPr>
          <w:rFonts w:asciiTheme="majorHAnsi" w:hAnsiTheme="majorHAnsi" w:cstheme="majorHAnsi"/>
          <w:color w:val="2F5496" w:themeColor="accent5" w:themeShade="BF"/>
        </w:rPr>
        <w:t xml:space="preserve">North Carolina </w:t>
      </w:r>
      <w:r w:rsidRPr="007C2652">
        <w:rPr>
          <w:rFonts w:asciiTheme="majorHAnsi" w:hAnsiTheme="majorHAnsi" w:cstheme="majorHAnsi"/>
          <w:color w:val="2F5496" w:themeColor="accent5" w:themeShade="BF"/>
        </w:rPr>
        <w:t>District Court Judges</w:t>
      </w:r>
    </w:p>
    <w:p w:rsidR="00CA0A50" w:rsidRPr="007C2652" w:rsidRDefault="007C2652">
      <w:pPr>
        <w:rPr>
          <w:rFonts w:asciiTheme="majorHAnsi" w:hAnsiTheme="majorHAnsi" w:cstheme="majorHAnsi"/>
          <w:color w:val="2F5496" w:themeColor="accent5" w:themeShade="BF"/>
          <w:sz w:val="36"/>
        </w:rPr>
      </w:pPr>
      <w:r w:rsidRPr="007C2652">
        <w:rPr>
          <w:rFonts w:asciiTheme="majorHAnsi" w:hAnsiTheme="majorHAnsi" w:cstheme="majorHAnsi"/>
          <w:color w:val="2F5496" w:themeColor="accent5" w:themeShade="BF"/>
          <w:sz w:val="36"/>
        </w:rPr>
        <w:t xml:space="preserve">2020-21 </w:t>
      </w:r>
      <w:r w:rsidR="00E74FAC" w:rsidRPr="007C2652">
        <w:rPr>
          <w:rFonts w:asciiTheme="majorHAnsi" w:hAnsiTheme="majorHAnsi" w:cstheme="majorHAnsi"/>
          <w:color w:val="2F5496" w:themeColor="accent5" w:themeShade="BF"/>
          <w:sz w:val="36"/>
        </w:rPr>
        <w:t>Action Plan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8455"/>
      </w:tblGrid>
      <w:tr w:rsidR="00082465" w:rsidRPr="00082465" w:rsidTr="007C2652">
        <w:trPr>
          <w:trHeight w:val="432"/>
        </w:trPr>
        <w:tc>
          <w:tcPr>
            <w:tcW w:w="895" w:type="dxa"/>
            <w:vAlign w:val="bottom"/>
          </w:tcPr>
          <w:p w:rsidR="00082465" w:rsidRPr="00082465" w:rsidRDefault="00082465" w:rsidP="007C2652">
            <w:r w:rsidRPr="00082465">
              <w:t>Name</w:t>
            </w:r>
          </w:p>
        </w:tc>
        <w:tc>
          <w:tcPr>
            <w:tcW w:w="8455" w:type="dxa"/>
            <w:tcBorders>
              <w:bottom w:val="single" w:sz="4" w:space="0" w:color="auto"/>
            </w:tcBorders>
            <w:vAlign w:val="bottom"/>
          </w:tcPr>
          <w:p w:rsidR="00082465" w:rsidRPr="00082465" w:rsidRDefault="00082465" w:rsidP="007C2652"/>
        </w:tc>
      </w:tr>
      <w:tr w:rsidR="00082465" w:rsidRPr="00082465" w:rsidTr="007C2652">
        <w:trPr>
          <w:trHeight w:val="432"/>
        </w:trPr>
        <w:tc>
          <w:tcPr>
            <w:tcW w:w="895" w:type="dxa"/>
            <w:vAlign w:val="bottom"/>
          </w:tcPr>
          <w:p w:rsidR="00082465" w:rsidRPr="00082465" w:rsidRDefault="00082465" w:rsidP="007C2652">
            <w:r w:rsidRPr="00082465">
              <w:t>Date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2465" w:rsidRPr="00082465" w:rsidRDefault="00082465" w:rsidP="007C2652"/>
        </w:tc>
      </w:tr>
    </w:tbl>
    <w:p w:rsidR="00E74FAC" w:rsidRDefault="00E74FAC" w:rsidP="00F45C54">
      <w:pPr>
        <w:spacing w:before="120"/>
      </w:pPr>
      <w:r>
        <w:t xml:space="preserve">The following are the ten North Carolina best practices for a successful Family Court. My action plan is to identify up to two practices that are not in place in my court </w:t>
      </w:r>
      <w:r w:rsidR="00F20C32">
        <w:t xml:space="preserve">or need improvement </w:t>
      </w:r>
      <w:r>
        <w:t>and to work with other judges and staff to put them into practice in my court.</w:t>
      </w:r>
    </w:p>
    <w:p w:rsidR="00E74FAC" w:rsidRDefault="00E74FAC"/>
    <w:tbl>
      <w:tblPr>
        <w:tblStyle w:val="TableGrid"/>
        <w:tblW w:w="10186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70"/>
        <w:gridCol w:w="2315"/>
        <w:gridCol w:w="4680"/>
        <w:gridCol w:w="924"/>
        <w:gridCol w:w="909"/>
        <w:gridCol w:w="888"/>
      </w:tblGrid>
      <w:tr w:rsidR="00F45C54" w:rsidRPr="00E74FAC" w:rsidTr="007E3599">
        <w:trPr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bottom"/>
          </w:tcPr>
          <w:p w:rsidR="00F45C54" w:rsidRPr="00E74FAC" w:rsidRDefault="00F45C54" w:rsidP="00E74FAC">
            <w:pPr>
              <w:jc w:val="center"/>
              <w:rPr>
                <w:b/>
                <w:sz w:val="20"/>
              </w:rPr>
            </w:pPr>
            <w:r w:rsidRPr="00E74FAC">
              <w:rPr>
                <w:b/>
                <w:sz w:val="20"/>
              </w:rPr>
              <w:t>No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bottom"/>
          </w:tcPr>
          <w:p w:rsidR="00F45C54" w:rsidRPr="00E74FAC" w:rsidRDefault="00F45C54" w:rsidP="00E74FAC">
            <w:pPr>
              <w:jc w:val="center"/>
              <w:rPr>
                <w:b/>
              </w:rPr>
            </w:pPr>
            <w:r w:rsidRPr="00E74FAC">
              <w:rPr>
                <w:b/>
              </w:rPr>
              <w:t>Best practice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F45C54" w:rsidRPr="00E74FAC" w:rsidRDefault="00F45C54" w:rsidP="00E74FAC">
            <w:pPr>
              <w:jc w:val="center"/>
              <w:rPr>
                <w:b/>
              </w:rPr>
            </w:pPr>
            <w:r w:rsidRPr="00E74FAC">
              <w:rPr>
                <w:b/>
              </w:rPr>
              <w:t>Description of action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:rsidR="00F45C54" w:rsidRPr="00F45C54" w:rsidRDefault="00F45C54" w:rsidP="00E74FAC">
            <w:pPr>
              <w:jc w:val="center"/>
              <w:rPr>
                <w:b/>
                <w:sz w:val="18"/>
              </w:rPr>
            </w:pPr>
            <w:r w:rsidRPr="00F45C54">
              <w:rPr>
                <w:b/>
                <w:sz w:val="18"/>
              </w:rPr>
              <w:t>Already practiced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F45C54" w:rsidRPr="00F45C54" w:rsidRDefault="00F45C54" w:rsidP="00E74FAC">
            <w:pPr>
              <w:jc w:val="center"/>
              <w:rPr>
                <w:b/>
                <w:sz w:val="18"/>
              </w:rPr>
            </w:pPr>
            <w:r w:rsidRPr="00F45C54">
              <w:rPr>
                <w:b/>
                <w:sz w:val="18"/>
              </w:rPr>
              <w:t>Needs improve-</w:t>
            </w:r>
            <w:proofErr w:type="spellStart"/>
            <w:r w:rsidRPr="00F45C54">
              <w:rPr>
                <w:b/>
                <w:sz w:val="18"/>
              </w:rPr>
              <w:t>ment</w:t>
            </w:r>
            <w:proofErr w:type="spellEnd"/>
          </w:p>
        </w:tc>
        <w:tc>
          <w:tcPr>
            <w:tcW w:w="888" w:type="dxa"/>
            <w:tcBorders>
              <w:bottom w:val="single" w:sz="4" w:space="0" w:color="auto"/>
            </w:tcBorders>
            <w:vAlign w:val="bottom"/>
          </w:tcPr>
          <w:p w:rsidR="00F45C54" w:rsidRDefault="00F45C54" w:rsidP="00F45C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ACTION</w:t>
            </w:r>
          </w:p>
          <w:p w:rsidR="00F45C54" w:rsidRPr="00F45C54" w:rsidRDefault="00F45C54" w:rsidP="004D0D94">
            <w:pPr>
              <w:jc w:val="center"/>
              <w:rPr>
                <w:b/>
                <w:sz w:val="18"/>
              </w:rPr>
            </w:pPr>
            <w:r w:rsidRPr="00F45C54">
              <w:rPr>
                <w:b/>
                <w:sz w:val="18"/>
              </w:rPr>
              <w:t xml:space="preserve">Check at least </w:t>
            </w:r>
            <w:r w:rsidR="004D0D94">
              <w:rPr>
                <w:b/>
                <w:sz w:val="18"/>
              </w:rPr>
              <w:t>2</w:t>
            </w:r>
          </w:p>
        </w:tc>
      </w:tr>
      <w:tr w:rsidR="00F45C54" w:rsidRPr="00E74FAC" w:rsidTr="007E3599">
        <w:trPr>
          <w:jc w:val="center"/>
        </w:trPr>
        <w:tc>
          <w:tcPr>
            <w:tcW w:w="470" w:type="dxa"/>
            <w:tcBorders>
              <w:top w:val="single" w:sz="4" w:space="0" w:color="auto"/>
            </w:tcBorders>
          </w:tcPr>
          <w:p w:rsidR="00F45C54" w:rsidRPr="00F45C54" w:rsidRDefault="00F45C54" w:rsidP="00E74FAC">
            <w:pPr>
              <w:jc w:val="center"/>
              <w:rPr>
                <w:b/>
                <w:sz w:val="20"/>
              </w:rPr>
            </w:pPr>
            <w:r w:rsidRPr="00F45C54">
              <w:rPr>
                <w:b/>
                <w:sz w:val="20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F45C54" w:rsidRPr="00F45C54" w:rsidRDefault="00F45C54" w:rsidP="00DD5C1C">
            <w:pPr>
              <w:rPr>
                <w:b/>
                <w:sz w:val="20"/>
              </w:rPr>
            </w:pPr>
            <w:r w:rsidRPr="00F45C54">
              <w:rPr>
                <w:b/>
                <w:sz w:val="20"/>
              </w:rPr>
              <w:t>Judicial Leadership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F45C54" w:rsidRPr="00E74FAC" w:rsidRDefault="00F45C54" w:rsidP="00F20C32">
            <w:pPr>
              <w:autoSpaceDE w:val="0"/>
              <w:autoSpaceDN w:val="0"/>
              <w:adjustRightInd w:val="0"/>
            </w:pPr>
            <w:r w:rsidRPr="00E74FAC">
              <w:rPr>
                <w:rFonts w:cstheme="minorHAnsi"/>
                <w:sz w:val="20"/>
                <w:szCs w:val="20"/>
              </w:rPr>
              <w:t>Judicial leaders must communicate with and enlist the support of their employees,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74FAC">
              <w:rPr>
                <w:rFonts w:cstheme="minorHAnsi"/>
                <w:sz w:val="20"/>
                <w:szCs w:val="20"/>
              </w:rPr>
              <w:t xml:space="preserve">practicing attorneys, child welfare agencies, </w:t>
            </w:r>
            <w:r w:rsidR="00F20C32">
              <w:rPr>
                <w:rFonts w:cstheme="minorHAnsi"/>
                <w:sz w:val="20"/>
                <w:szCs w:val="20"/>
              </w:rPr>
              <w:t>to ensure</w:t>
            </w:r>
            <w:r w:rsidRPr="00E74FAC">
              <w:rPr>
                <w:rFonts w:cstheme="minorHAnsi"/>
                <w:sz w:val="20"/>
                <w:szCs w:val="20"/>
              </w:rPr>
              <w:t xml:space="preserve"> timely dispositions 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F45C54" w:rsidRPr="00E74FAC" w:rsidRDefault="00F45C54" w:rsidP="00DD5C1C"/>
        </w:tc>
        <w:tc>
          <w:tcPr>
            <w:tcW w:w="909" w:type="dxa"/>
            <w:tcBorders>
              <w:top w:val="single" w:sz="4" w:space="0" w:color="auto"/>
            </w:tcBorders>
          </w:tcPr>
          <w:p w:rsidR="00F45C54" w:rsidRPr="00E74FAC" w:rsidRDefault="00F45C54" w:rsidP="00DD5C1C"/>
        </w:tc>
        <w:tc>
          <w:tcPr>
            <w:tcW w:w="888" w:type="dxa"/>
            <w:tcBorders>
              <w:top w:val="single" w:sz="4" w:space="0" w:color="auto"/>
            </w:tcBorders>
          </w:tcPr>
          <w:p w:rsidR="00F45C54" w:rsidRPr="00E74FAC" w:rsidRDefault="00F45C54" w:rsidP="00DD5C1C"/>
        </w:tc>
      </w:tr>
      <w:tr w:rsidR="00F45C54" w:rsidRPr="00E74FAC" w:rsidTr="007E3599">
        <w:trPr>
          <w:jc w:val="center"/>
        </w:trPr>
        <w:tc>
          <w:tcPr>
            <w:tcW w:w="470" w:type="dxa"/>
          </w:tcPr>
          <w:p w:rsidR="00F45C54" w:rsidRPr="00F45C54" w:rsidRDefault="00F45C54" w:rsidP="00E74FAC">
            <w:pPr>
              <w:jc w:val="center"/>
              <w:rPr>
                <w:b/>
                <w:sz w:val="20"/>
              </w:rPr>
            </w:pPr>
            <w:r w:rsidRPr="00F45C54">
              <w:rPr>
                <w:b/>
                <w:sz w:val="20"/>
              </w:rPr>
              <w:t>2</w:t>
            </w:r>
          </w:p>
        </w:tc>
        <w:tc>
          <w:tcPr>
            <w:tcW w:w="2315" w:type="dxa"/>
          </w:tcPr>
          <w:p w:rsidR="00F45C54" w:rsidRPr="00F45C54" w:rsidRDefault="00F45C54" w:rsidP="00DD5C1C">
            <w:pPr>
              <w:rPr>
                <w:b/>
                <w:sz w:val="20"/>
              </w:rPr>
            </w:pPr>
            <w:r w:rsidRPr="00F45C54">
              <w:rPr>
                <w:b/>
                <w:sz w:val="20"/>
              </w:rPr>
              <w:t>One Judge (or Judge Team)/One Family</w:t>
            </w:r>
          </w:p>
        </w:tc>
        <w:tc>
          <w:tcPr>
            <w:tcW w:w="4680" w:type="dxa"/>
          </w:tcPr>
          <w:p w:rsidR="00F45C54" w:rsidRPr="00E74FAC" w:rsidRDefault="00F45C54" w:rsidP="00F20C32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082465">
              <w:rPr>
                <w:rFonts w:cstheme="minorHAnsi"/>
                <w:sz w:val="20"/>
                <w:szCs w:val="20"/>
              </w:rPr>
              <w:t>ssigning of a single judge to a family 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2465">
              <w:rPr>
                <w:rFonts w:cstheme="minorHAnsi"/>
                <w:sz w:val="20"/>
                <w:szCs w:val="20"/>
              </w:rPr>
              <w:t>domestic court for a divorce, in juvenile court for abuse, neglect or dependency issues, in domestic violence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2465">
              <w:rPr>
                <w:rFonts w:cstheme="minorHAnsi"/>
                <w:sz w:val="20"/>
                <w:szCs w:val="20"/>
              </w:rPr>
              <w:t>court for assault charges, or in delinquency court for a truant or criminally-involved youth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24" w:type="dxa"/>
          </w:tcPr>
          <w:p w:rsidR="00F45C54" w:rsidRPr="00E74FAC" w:rsidRDefault="00F45C54" w:rsidP="00DD5C1C"/>
        </w:tc>
        <w:tc>
          <w:tcPr>
            <w:tcW w:w="909" w:type="dxa"/>
          </w:tcPr>
          <w:p w:rsidR="00F45C54" w:rsidRPr="00E74FAC" w:rsidRDefault="00F45C54" w:rsidP="00DD5C1C"/>
        </w:tc>
        <w:tc>
          <w:tcPr>
            <w:tcW w:w="888" w:type="dxa"/>
          </w:tcPr>
          <w:p w:rsidR="00F45C54" w:rsidRPr="00E74FAC" w:rsidRDefault="00F45C54" w:rsidP="00DD5C1C"/>
        </w:tc>
      </w:tr>
      <w:tr w:rsidR="00F45C54" w:rsidRPr="00E74FAC" w:rsidTr="007E3599">
        <w:trPr>
          <w:jc w:val="center"/>
        </w:trPr>
        <w:tc>
          <w:tcPr>
            <w:tcW w:w="470" w:type="dxa"/>
          </w:tcPr>
          <w:p w:rsidR="00F45C54" w:rsidRPr="00F45C54" w:rsidRDefault="00F45C54" w:rsidP="00E74FAC">
            <w:pPr>
              <w:jc w:val="center"/>
              <w:rPr>
                <w:b/>
                <w:sz w:val="20"/>
              </w:rPr>
            </w:pPr>
            <w:r w:rsidRPr="00F45C54">
              <w:rPr>
                <w:b/>
                <w:sz w:val="20"/>
              </w:rPr>
              <w:t>3</w:t>
            </w:r>
          </w:p>
        </w:tc>
        <w:tc>
          <w:tcPr>
            <w:tcW w:w="2315" w:type="dxa"/>
          </w:tcPr>
          <w:p w:rsidR="00F45C54" w:rsidRPr="00F45C54" w:rsidRDefault="00F45C54" w:rsidP="00DD5C1C">
            <w:pPr>
              <w:rPr>
                <w:b/>
                <w:sz w:val="20"/>
              </w:rPr>
            </w:pPr>
            <w:r w:rsidRPr="00F45C54">
              <w:rPr>
                <w:b/>
                <w:sz w:val="20"/>
              </w:rPr>
              <w:t>New Local Rules</w:t>
            </w:r>
          </w:p>
        </w:tc>
        <w:tc>
          <w:tcPr>
            <w:tcW w:w="4680" w:type="dxa"/>
          </w:tcPr>
          <w:p w:rsidR="00F45C54" w:rsidRPr="00082465" w:rsidRDefault="00F45C54" w:rsidP="0008246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82465">
              <w:rPr>
                <w:rFonts w:cstheme="minorHAnsi"/>
                <w:sz w:val="20"/>
                <w:szCs w:val="20"/>
              </w:rPr>
              <w:t>Develop specific procedures to ensure that upon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2465">
              <w:rPr>
                <w:rFonts w:cstheme="minorHAnsi"/>
                <w:sz w:val="20"/>
                <w:szCs w:val="20"/>
              </w:rPr>
              <w:t xml:space="preserve">filing, cases continue through the system in a 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082465">
              <w:rPr>
                <w:rFonts w:cstheme="minorHAnsi"/>
                <w:sz w:val="20"/>
                <w:szCs w:val="20"/>
              </w:rPr>
              <w:t>imely, predictable, and effective manner.</w:t>
            </w:r>
          </w:p>
        </w:tc>
        <w:tc>
          <w:tcPr>
            <w:tcW w:w="924" w:type="dxa"/>
          </w:tcPr>
          <w:p w:rsidR="00F45C54" w:rsidRPr="00E74FAC" w:rsidRDefault="00F45C54" w:rsidP="00DD5C1C"/>
        </w:tc>
        <w:tc>
          <w:tcPr>
            <w:tcW w:w="909" w:type="dxa"/>
          </w:tcPr>
          <w:p w:rsidR="00F45C54" w:rsidRPr="00E74FAC" w:rsidRDefault="00F45C54" w:rsidP="00DD5C1C"/>
        </w:tc>
        <w:tc>
          <w:tcPr>
            <w:tcW w:w="888" w:type="dxa"/>
          </w:tcPr>
          <w:p w:rsidR="00F45C54" w:rsidRPr="00E74FAC" w:rsidRDefault="00F45C54" w:rsidP="00DD5C1C"/>
        </w:tc>
      </w:tr>
      <w:tr w:rsidR="00F45C54" w:rsidRPr="00E74FAC" w:rsidTr="007E3599">
        <w:trPr>
          <w:jc w:val="center"/>
        </w:trPr>
        <w:tc>
          <w:tcPr>
            <w:tcW w:w="470" w:type="dxa"/>
          </w:tcPr>
          <w:p w:rsidR="00F45C54" w:rsidRPr="00F45C54" w:rsidRDefault="00F45C54" w:rsidP="00E74FAC">
            <w:pPr>
              <w:jc w:val="center"/>
              <w:rPr>
                <w:b/>
                <w:sz w:val="20"/>
              </w:rPr>
            </w:pPr>
            <w:r w:rsidRPr="00F45C54">
              <w:rPr>
                <w:b/>
                <w:sz w:val="20"/>
              </w:rPr>
              <w:t>4</w:t>
            </w:r>
          </w:p>
        </w:tc>
        <w:tc>
          <w:tcPr>
            <w:tcW w:w="2315" w:type="dxa"/>
          </w:tcPr>
          <w:p w:rsidR="00F45C54" w:rsidRPr="00F45C54" w:rsidRDefault="00F45C54" w:rsidP="00DD5C1C">
            <w:pPr>
              <w:rPr>
                <w:b/>
                <w:sz w:val="20"/>
              </w:rPr>
            </w:pPr>
            <w:r w:rsidRPr="00F45C54">
              <w:rPr>
                <w:b/>
                <w:sz w:val="20"/>
              </w:rPr>
              <w:t>Time Standards for Events in All Cases</w:t>
            </w:r>
          </w:p>
        </w:tc>
        <w:tc>
          <w:tcPr>
            <w:tcW w:w="4680" w:type="dxa"/>
          </w:tcPr>
          <w:p w:rsidR="00F45C54" w:rsidRPr="00082465" w:rsidRDefault="00F45C54" w:rsidP="00F20C3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82465">
              <w:rPr>
                <w:rFonts w:cstheme="minorHAnsi"/>
                <w:sz w:val="20"/>
                <w:szCs w:val="20"/>
              </w:rPr>
              <w:t xml:space="preserve">Time </w:t>
            </w:r>
            <w:r w:rsidR="00F20C32">
              <w:rPr>
                <w:rFonts w:cstheme="minorHAnsi"/>
                <w:sz w:val="20"/>
                <w:szCs w:val="20"/>
              </w:rPr>
              <w:t>s</w:t>
            </w:r>
            <w:r w:rsidRPr="00082465">
              <w:rPr>
                <w:rFonts w:cstheme="minorHAnsi"/>
                <w:sz w:val="20"/>
                <w:szCs w:val="20"/>
              </w:rPr>
              <w:t>tandards for events in all cases provide for the pace of the case, as well as the length of time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2465">
              <w:rPr>
                <w:rFonts w:cstheme="minorHAnsi"/>
                <w:sz w:val="20"/>
                <w:szCs w:val="20"/>
              </w:rPr>
              <w:t>families can anticipate the</w:t>
            </w:r>
            <w:r w:rsidR="00F20C32">
              <w:rPr>
                <w:rFonts w:cstheme="minorHAnsi"/>
                <w:sz w:val="20"/>
                <w:szCs w:val="20"/>
              </w:rPr>
              <w:t>ir case will require to resolve</w:t>
            </w:r>
            <w:r w:rsidRPr="0008246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24" w:type="dxa"/>
          </w:tcPr>
          <w:p w:rsidR="00F45C54" w:rsidRPr="00E74FAC" w:rsidRDefault="00F45C54" w:rsidP="00DD5C1C">
            <w:bookmarkStart w:id="0" w:name="_GoBack"/>
            <w:bookmarkEnd w:id="0"/>
          </w:p>
        </w:tc>
        <w:tc>
          <w:tcPr>
            <w:tcW w:w="909" w:type="dxa"/>
          </w:tcPr>
          <w:p w:rsidR="00F45C54" w:rsidRPr="00E74FAC" w:rsidRDefault="00F45C54" w:rsidP="00DD5C1C"/>
        </w:tc>
        <w:tc>
          <w:tcPr>
            <w:tcW w:w="888" w:type="dxa"/>
          </w:tcPr>
          <w:p w:rsidR="00F45C54" w:rsidRPr="00E74FAC" w:rsidRDefault="00F45C54" w:rsidP="00DD5C1C"/>
        </w:tc>
      </w:tr>
      <w:tr w:rsidR="00F45C54" w:rsidRPr="00E74FAC" w:rsidTr="007E3599">
        <w:trPr>
          <w:jc w:val="center"/>
        </w:trPr>
        <w:tc>
          <w:tcPr>
            <w:tcW w:w="470" w:type="dxa"/>
          </w:tcPr>
          <w:p w:rsidR="00F45C54" w:rsidRPr="00F45C54" w:rsidRDefault="00F45C54" w:rsidP="00E74FAC">
            <w:pPr>
              <w:jc w:val="center"/>
              <w:rPr>
                <w:b/>
                <w:sz w:val="20"/>
              </w:rPr>
            </w:pPr>
            <w:r w:rsidRPr="00F45C54">
              <w:rPr>
                <w:b/>
                <w:sz w:val="20"/>
              </w:rPr>
              <w:t>5</w:t>
            </w:r>
          </w:p>
        </w:tc>
        <w:tc>
          <w:tcPr>
            <w:tcW w:w="2315" w:type="dxa"/>
          </w:tcPr>
          <w:p w:rsidR="00F45C54" w:rsidRPr="00F45C54" w:rsidRDefault="00F45C54" w:rsidP="00DD5C1C">
            <w:pPr>
              <w:rPr>
                <w:b/>
                <w:sz w:val="20"/>
              </w:rPr>
            </w:pPr>
            <w:r w:rsidRPr="00F45C54">
              <w:rPr>
                <w:b/>
                <w:sz w:val="20"/>
              </w:rPr>
              <w:t>Active Case Management by the Court</w:t>
            </w:r>
          </w:p>
        </w:tc>
        <w:tc>
          <w:tcPr>
            <w:tcW w:w="4680" w:type="dxa"/>
          </w:tcPr>
          <w:p w:rsidR="00F45C54" w:rsidRPr="00082465" w:rsidRDefault="00F45C54" w:rsidP="00F20C3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82465">
              <w:rPr>
                <w:rFonts w:cstheme="minorHAnsi"/>
                <w:sz w:val="20"/>
                <w:szCs w:val="20"/>
              </w:rPr>
              <w:t>When the case is filed, the case coordinators or judicial staff/clerks capture those filings, assign a judge, and schedule and continuously calendar each case.</w:t>
            </w:r>
          </w:p>
        </w:tc>
        <w:tc>
          <w:tcPr>
            <w:tcW w:w="924" w:type="dxa"/>
          </w:tcPr>
          <w:p w:rsidR="00F45C54" w:rsidRPr="00E74FAC" w:rsidRDefault="00F45C54" w:rsidP="00DD5C1C"/>
        </w:tc>
        <w:tc>
          <w:tcPr>
            <w:tcW w:w="909" w:type="dxa"/>
          </w:tcPr>
          <w:p w:rsidR="00F45C54" w:rsidRPr="00E74FAC" w:rsidRDefault="00F45C54" w:rsidP="00DD5C1C"/>
        </w:tc>
        <w:tc>
          <w:tcPr>
            <w:tcW w:w="888" w:type="dxa"/>
          </w:tcPr>
          <w:p w:rsidR="00F45C54" w:rsidRPr="00E74FAC" w:rsidRDefault="00F45C54" w:rsidP="00DD5C1C"/>
        </w:tc>
      </w:tr>
      <w:tr w:rsidR="00F45C54" w:rsidRPr="00E74FAC" w:rsidTr="007E3599">
        <w:trPr>
          <w:jc w:val="center"/>
        </w:trPr>
        <w:tc>
          <w:tcPr>
            <w:tcW w:w="470" w:type="dxa"/>
          </w:tcPr>
          <w:p w:rsidR="00F45C54" w:rsidRPr="00F45C54" w:rsidRDefault="00F45C54" w:rsidP="00E74FAC">
            <w:pPr>
              <w:jc w:val="center"/>
              <w:rPr>
                <w:b/>
                <w:sz w:val="20"/>
              </w:rPr>
            </w:pPr>
            <w:r w:rsidRPr="00F45C54">
              <w:rPr>
                <w:b/>
                <w:sz w:val="20"/>
              </w:rPr>
              <w:t>6</w:t>
            </w:r>
          </w:p>
        </w:tc>
        <w:tc>
          <w:tcPr>
            <w:tcW w:w="2315" w:type="dxa"/>
          </w:tcPr>
          <w:p w:rsidR="00F45C54" w:rsidRPr="00F45C54" w:rsidRDefault="00F45C54" w:rsidP="00DD5C1C">
            <w:pPr>
              <w:rPr>
                <w:b/>
                <w:sz w:val="20"/>
              </w:rPr>
            </w:pPr>
            <w:r w:rsidRPr="00F45C54">
              <w:rPr>
                <w:b/>
                <w:sz w:val="20"/>
              </w:rPr>
              <w:t>Maximum Use of Alternative Dispute Resolution (ADR)</w:t>
            </w:r>
          </w:p>
        </w:tc>
        <w:tc>
          <w:tcPr>
            <w:tcW w:w="4680" w:type="dxa"/>
          </w:tcPr>
          <w:p w:rsidR="00F45C54" w:rsidRPr="00E74FAC" w:rsidRDefault="00F45C54" w:rsidP="00082465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082465">
              <w:rPr>
                <w:rFonts w:cstheme="minorHAnsi"/>
                <w:sz w:val="20"/>
                <w:szCs w:val="20"/>
              </w:rPr>
              <w:t>se of two mandatory programs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082465">
              <w:rPr>
                <w:rFonts w:cstheme="minorHAnsi"/>
                <w:sz w:val="20"/>
                <w:szCs w:val="20"/>
              </w:rPr>
              <w:t xml:space="preserve"> Custody Mediation and Family Financial Mediation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24" w:type="dxa"/>
          </w:tcPr>
          <w:p w:rsidR="00F45C54" w:rsidRPr="00E74FAC" w:rsidRDefault="00F45C54" w:rsidP="00DD5C1C"/>
        </w:tc>
        <w:tc>
          <w:tcPr>
            <w:tcW w:w="909" w:type="dxa"/>
          </w:tcPr>
          <w:p w:rsidR="00F45C54" w:rsidRPr="00E74FAC" w:rsidRDefault="00F45C54" w:rsidP="00DD5C1C"/>
        </w:tc>
        <w:tc>
          <w:tcPr>
            <w:tcW w:w="888" w:type="dxa"/>
          </w:tcPr>
          <w:p w:rsidR="00F45C54" w:rsidRPr="00E74FAC" w:rsidRDefault="00F45C54" w:rsidP="00DD5C1C"/>
        </w:tc>
      </w:tr>
      <w:tr w:rsidR="00F45C54" w:rsidRPr="00E74FAC" w:rsidTr="007E3599">
        <w:trPr>
          <w:jc w:val="center"/>
        </w:trPr>
        <w:tc>
          <w:tcPr>
            <w:tcW w:w="470" w:type="dxa"/>
          </w:tcPr>
          <w:p w:rsidR="00F45C54" w:rsidRPr="00F45C54" w:rsidRDefault="00F45C54" w:rsidP="00E74FAC">
            <w:pPr>
              <w:jc w:val="center"/>
              <w:rPr>
                <w:b/>
                <w:sz w:val="20"/>
              </w:rPr>
            </w:pPr>
            <w:r w:rsidRPr="00F45C54">
              <w:rPr>
                <w:b/>
                <w:sz w:val="20"/>
              </w:rPr>
              <w:t>7</w:t>
            </w:r>
          </w:p>
        </w:tc>
        <w:tc>
          <w:tcPr>
            <w:tcW w:w="2315" w:type="dxa"/>
          </w:tcPr>
          <w:p w:rsidR="00F45C54" w:rsidRPr="00F45C54" w:rsidRDefault="00F45C54" w:rsidP="00DD5C1C">
            <w:pPr>
              <w:rPr>
                <w:b/>
                <w:sz w:val="20"/>
              </w:rPr>
            </w:pPr>
            <w:r w:rsidRPr="00F45C54">
              <w:rPr>
                <w:b/>
                <w:sz w:val="20"/>
              </w:rPr>
              <w:t>Focus on Customer Service</w:t>
            </w:r>
          </w:p>
        </w:tc>
        <w:tc>
          <w:tcPr>
            <w:tcW w:w="4680" w:type="dxa"/>
          </w:tcPr>
          <w:p w:rsidR="00F45C54" w:rsidRPr="00082465" w:rsidRDefault="00F45C54" w:rsidP="00F20C3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82465">
              <w:rPr>
                <w:rFonts w:cstheme="minorHAnsi"/>
                <w:sz w:val="20"/>
                <w:szCs w:val="20"/>
              </w:rPr>
              <w:t>Produce brochures that cover many aspects of their programs and services,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2465">
              <w:rPr>
                <w:rFonts w:cstheme="minorHAnsi"/>
                <w:sz w:val="20"/>
                <w:szCs w:val="20"/>
              </w:rPr>
              <w:t xml:space="preserve">well as contact information for staff. These districts also develop web sites linked to </w:t>
            </w:r>
            <w:hyperlink r:id="rId4" w:history="1">
              <w:r w:rsidRPr="008B4A32">
                <w:rPr>
                  <w:rStyle w:val="Hyperlink"/>
                  <w:rFonts w:cstheme="minorHAnsi"/>
                  <w:sz w:val="20"/>
                  <w:szCs w:val="20"/>
                </w:rPr>
                <w:t>www.nccourts.org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2465">
              <w:rPr>
                <w:rFonts w:cstheme="minorHAnsi"/>
                <w:sz w:val="20"/>
                <w:szCs w:val="20"/>
              </w:rPr>
              <w:t>for ease of informational access.</w:t>
            </w:r>
          </w:p>
        </w:tc>
        <w:tc>
          <w:tcPr>
            <w:tcW w:w="924" w:type="dxa"/>
          </w:tcPr>
          <w:p w:rsidR="00F45C54" w:rsidRPr="00082465" w:rsidRDefault="00F45C54" w:rsidP="00DD5C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9" w:type="dxa"/>
          </w:tcPr>
          <w:p w:rsidR="00F45C54" w:rsidRPr="00E74FAC" w:rsidRDefault="00F45C54" w:rsidP="00DD5C1C"/>
        </w:tc>
        <w:tc>
          <w:tcPr>
            <w:tcW w:w="888" w:type="dxa"/>
          </w:tcPr>
          <w:p w:rsidR="00F45C54" w:rsidRPr="00E74FAC" w:rsidRDefault="00F45C54" w:rsidP="00DD5C1C"/>
        </w:tc>
      </w:tr>
      <w:tr w:rsidR="00F45C54" w:rsidRPr="00E74FAC" w:rsidTr="007E3599">
        <w:trPr>
          <w:jc w:val="center"/>
        </w:trPr>
        <w:tc>
          <w:tcPr>
            <w:tcW w:w="470" w:type="dxa"/>
          </w:tcPr>
          <w:p w:rsidR="00F45C54" w:rsidRPr="00F45C54" w:rsidRDefault="00F45C54" w:rsidP="00E74FAC">
            <w:pPr>
              <w:jc w:val="center"/>
              <w:rPr>
                <w:b/>
                <w:sz w:val="20"/>
              </w:rPr>
            </w:pPr>
            <w:r w:rsidRPr="00F45C54">
              <w:rPr>
                <w:b/>
                <w:sz w:val="20"/>
              </w:rPr>
              <w:t>8</w:t>
            </w:r>
          </w:p>
        </w:tc>
        <w:tc>
          <w:tcPr>
            <w:tcW w:w="2315" w:type="dxa"/>
          </w:tcPr>
          <w:p w:rsidR="00F45C54" w:rsidRPr="00F45C54" w:rsidRDefault="00F45C54" w:rsidP="00DD5C1C">
            <w:pPr>
              <w:rPr>
                <w:b/>
                <w:sz w:val="20"/>
              </w:rPr>
            </w:pPr>
            <w:r w:rsidRPr="00F45C54">
              <w:rPr>
                <w:b/>
                <w:sz w:val="20"/>
              </w:rPr>
              <w:t>Additional Court and Community Services</w:t>
            </w:r>
          </w:p>
        </w:tc>
        <w:tc>
          <w:tcPr>
            <w:tcW w:w="4680" w:type="dxa"/>
          </w:tcPr>
          <w:p w:rsidR="00F45C54" w:rsidRPr="00E74FAC" w:rsidRDefault="00F45C54" w:rsidP="00082465">
            <w:pPr>
              <w:autoSpaceDE w:val="0"/>
              <w:autoSpaceDN w:val="0"/>
              <w:adjustRightInd w:val="0"/>
            </w:pPr>
            <w:r w:rsidRPr="00082465">
              <w:rPr>
                <w:rFonts w:cstheme="minorHAnsi"/>
                <w:sz w:val="20"/>
                <w:szCs w:val="20"/>
              </w:rPr>
              <w:t>Additional court and community services tailored to the individual needs of each district are designed and implemented from a menu of innovative programs and tailored to the individual needs of each district.</w:t>
            </w:r>
          </w:p>
        </w:tc>
        <w:tc>
          <w:tcPr>
            <w:tcW w:w="924" w:type="dxa"/>
          </w:tcPr>
          <w:p w:rsidR="00F45C54" w:rsidRPr="00E74FAC" w:rsidRDefault="00F45C54" w:rsidP="00DD5C1C"/>
        </w:tc>
        <w:tc>
          <w:tcPr>
            <w:tcW w:w="909" w:type="dxa"/>
          </w:tcPr>
          <w:p w:rsidR="00F45C54" w:rsidRPr="00E74FAC" w:rsidRDefault="00F45C54" w:rsidP="00DD5C1C"/>
        </w:tc>
        <w:tc>
          <w:tcPr>
            <w:tcW w:w="888" w:type="dxa"/>
          </w:tcPr>
          <w:p w:rsidR="00F45C54" w:rsidRPr="00E74FAC" w:rsidRDefault="00F45C54" w:rsidP="00DD5C1C"/>
        </w:tc>
      </w:tr>
      <w:tr w:rsidR="00F45C54" w:rsidRPr="00E74FAC" w:rsidTr="007E3599">
        <w:trPr>
          <w:jc w:val="center"/>
        </w:trPr>
        <w:tc>
          <w:tcPr>
            <w:tcW w:w="470" w:type="dxa"/>
          </w:tcPr>
          <w:p w:rsidR="00F45C54" w:rsidRPr="00F45C54" w:rsidRDefault="00F45C54" w:rsidP="00E74FAC">
            <w:pPr>
              <w:jc w:val="center"/>
              <w:rPr>
                <w:b/>
                <w:sz w:val="20"/>
              </w:rPr>
            </w:pPr>
            <w:r w:rsidRPr="00F45C54">
              <w:rPr>
                <w:b/>
                <w:sz w:val="20"/>
              </w:rPr>
              <w:t>9</w:t>
            </w:r>
          </w:p>
        </w:tc>
        <w:tc>
          <w:tcPr>
            <w:tcW w:w="2315" w:type="dxa"/>
          </w:tcPr>
          <w:p w:rsidR="00F45C54" w:rsidRPr="00F45C54" w:rsidRDefault="00F45C54" w:rsidP="00DD5C1C">
            <w:pPr>
              <w:rPr>
                <w:b/>
                <w:sz w:val="20"/>
              </w:rPr>
            </w:pPr>
            <w:r w:rsidRPr="00F45C54">
              <w:rPr>
                <w:b/>
                <w:sz w:val="20"/>
              </w:rPr>
              <w:t>Specially Trained Judges and Staff</w:t>
            </w:r>
          </w:p>
        </w:tc>
        <w:tc>
          <w:tcPr>
            <w:tcW w:w="4680" w:type="dxa"/>
          </w:tcPr>
          <w:p w:rsidR="00F45C54" w:rsidRPr="00E74FAC" w:rsidRDefault="00F45C54" w:rsidP="00F20C32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sz w:val="20"/>
                <w:szCs w:val="20"/>
              </w:rPr>
              <w:t>J</w:t>
            </w:r>
            <w:r w:rsidRPr="00082465">
              <w:rPr>
                <w:rFonts w:cstheme="minorHAnsi"/>
                <w:sz w:val="20"/>
                <w:szCs w:val="20"/>
              </w:rPr>
              <w:t>udges study substa</w:t>
            </w:r>
            <w:r w:rsidR="00F20C32">
              <w:rPr>
                <w:rFonts w:cstheme="minorHAnsi"/>
                <w:sz w:val="20"/>
                <w:szCs w:val="20"/>
              </w:rPr>
              <w:t xml:space="preserve">nce abuse, domestic violence, and other topics; </w:t>
            </w:r>
            <w:r w:rsidRPr="00082465">
              <w:rPr>
                <w:rFonts w:cstheme="minorHAnsi"/>
                <w:sz w:val="20"/>
                <w:szCs w:val="20"/>
              </w:rPr>
              <w:t>staff studies the unauthorized practice of law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2465">
              <w:rPr>
                <w:rFonts w:cstheme="minorHAnsi"/>
                <w:sz w:val="20"/>
                <w:szCs w:val="20"/>
              </w:rPr>
              <w:t>and domestic/juvenile legal procedures.</w:t>
            </w:r>
          </w:p>
        </w:tc>
        <w:tc>
          <w:tcPr>
            <w:tcW w:w="924" w:type="dxa"/>
          </w:tcPr>
          <w:p w:rsidR="00F45C54" w:rsidRPr="00E74FAC" w:rsidRDefault="00F45C54" w:rsidP="00DD5C1C"/>
        </w:tc>
        <w:tc>
          <w:tcPr>
            <w:tcW w:w="909" w:type="dxa"/>
          </w:tcPr>
          <w:p w:rsidR="00F45C54" w:rsidRPr="00E74FAC" w:rsidRDefault="00F45C54" w:rsidP="00DD5C1C"/>
        </w:tc>
        <w:tc>
          <w:tcPr>
            <w:tcW w:w="888" w:type="dxa"/>
          </w:tcPr>
          <w:p w:rsidR="00F45C54" w:rsidRPr="00E74FAC" w:rsidRDefault="00F45C54" w:rsidP="00DD5C1C"/>
        </w:tc>
      </w:tr>
      <w:tr w:rsidR="00F45C54" w:rsidRPr="00E74FAC" w:rsidTr="007E3599">
        <w:trPr>
          <w:jc w:val="center"/>
        </w:trPr>
        <w:tc>
          <w:tcPr>
            <w:tcW w:w="470" w:type="dxa"/>
          </w:tcPr>
          <w:p w:rsidR="00F45C54" w:rsidRPr="00F45C54" w:rsidRDefault="00F45C54" w:rsidP="00E74FAC">
            <w:pPr>
              <w:jc w:val="center"/>
              <w:rPr>
                <w:b/>
                <w:sz w:val="20"/>
              </w:rPr>
            </w:pPr>
            <w:r w:rsidRPr="00F45C54">
              <w:rPr>
                <w:b/>
                <w:sz w:val="20"/>
              </w:rPr>
              <w:t>10</w:t>
            </w:r>
          </w:p>
        </w:tc>
        <w:tc>
          <w:tcPr>
            <w:tcW w:w="2315" w:type="dxa"/>
          </w:tcPr>
          <w:p w:rsidR="00F45C54" w:rsidRPr="00F45C54" w:rsidRDefault="00F45C54" w:rsidP="00DD5C1C">
            <w:pPr>
              <w:rPr>
                <w:b/>
                <w:sz w:val="20"/>
              </w:rPr>
            </w:pPr>
            <w:r w:rsidRPr="00F45C54">
              <w:rPr>
                <w:b/>
                <w:sz w:val="20"/>
              </w:rPr>
              <w:t>Collaborative Local Family Court Advisory Committee (FCAC)</w:t>
            </w:r>
          </w:p>
        </w:tc>
        <w:tc>
          <w:tcPr>
            <w:tcW w:w="4680" w:type="dxa"/>
          </w:tcPr>
          <w:p w:rsidR="00F45C54" w:rsidRPr="00E74FAC" w:rsidRDefault="00F45C54" w:rsidP="00F20C32">
            <w:pPr>
              <w:autoSpaceDE w:val="0"/>
              <w:autoSpaceDN w:val="0"/>
              <w:adjustRightInd w:val="0"/>
            </w:pPr>
            <w:r w:rsidRPr="00082465">
              <w:rPr>
                <w:rFonts w:cstheme="minorHAnsi"/>
                <w:sz w:val="20"/>
                <w:szCs w:val="20"/>
              </w:rPr>
              <w:t>Committees provide an opportunity for community and court partners to work together on visionary planning. They also serve as an all-important venue for stakeholders to bring their concerns to Family Court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24" w:type="dxa"/>
          </w:tcPr>
          <w:p w:rsidR="00F45C54" w:rsidRPr="00E74FAC" w:rsidRDefault="00F45C54" w:rsidP="00DD5C1C"/>
        </w:tc>
        <w:tc>
          <w:tcPr>
            <w:tcW w:w="909" w:type="dxa"/>
          </w:tcPr>
          <w:p w:rsidR="00F45C54" w:rsidRPr="00E74FAC" w:rsidRDefault="00F45C54" w:rsidP="00DD5C1C"/>
        </w:tc>
        <w:tc>
          <w:tcPr>
            <w:tcW w:w="888" w:type="dxa"/>
          </w:tcPr>
          <w:p w:rsidR="00F45C54" w:rsidRPr="00E74FAC" w:rsidRDefault="00F45C54" w:rsidP="00DD5C1C"/>
        </w:tc>
      </w:tr>
    </w:tbl>
    <w:p w:rsidR="00E74FAC" w:rsidRDefault="00E74FAC" w:rsidP="00E74FAC"/>
    <w:sectPr w:rsidR="00E74FAC" w:rsidSect="00F45C54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AC"/>
    <w:rsid w:val="00082465"/>
    <w:rsid w:val="0043151E"/>
    <w:rsid w:val="004D0D94"/>
    <w:rsid w:val="005A6D06"/>
    <w:rsid w:val="007C2652"/>
    <w:rsid w:val="007E3599"/>
    <w:rsid w:val="00CA0A50"/>
    <w:rsid w:val="00E74FAC"/>
    <w:rsid w:val="00EF400E"/>
    <w:rsid w:val="00F20C32"/>
    <w:rsid w:val="00F4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4CD94-76AF-4BB7-85F7-0D6B7359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F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2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ccour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Dibble</dc:creator>
  <cp:keywords/>
  <dc:description/>
  <cp:lastModifiedBy>Raymond Dibble</cp:lastModifiedBy>
  <cp:revision>2</cp:revision>
  <dcterms:created xsi:type="dcterms:W3CDTF">2020-07-08T14:35:00Z</dcterms:created>
  <dcterms:modified xsi:type="dcterms:W3CDTF">2020-07-08T14:35:00Z</dcterms:modified>
</cp:coreProperties>
</file>