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0EFCB" w14:textId="7306EF13" w:rsidR="0037598A" w:rsidRPr="00FF57FD" w:rsidRDefault="0037598A" w:rsidP="0037598A">
      <w:pPr>
        <w:spacing w:after="0" w:line="240" w:lineRule="auto"/>
        <w:jc w:val="center"/>
        <w:rPr>
          <w:rFonts w:ascii="Times New Roman" w:hAnsi="Times New Roman" w:cs="Times New Roman"/>
          <w:b/>
          <w:bCs/>
          <w:sz w:val="56"/>
          <w:szCs w:val="56"/>
        </w:rPr>
      </w:pPr>
      <w:r w:rsidRPr="00FF57FD">
        <w:rPr>
          <w:rFonts w:ascii="Times New Roman" w:hAnsi="Times New Roman" w:cs="Times New Roman"/>
          <w:b/>
          <w:bCs/>
          <w:sz w:val="56"/>
          <w:szCs w:val="56"/>
        </w:rPr>
        <w:t>LELA 101:</w:t>
      </w:r>
    </w:p>
    <w:p w14:paraId="2950FFD7" w14:textId="0B806AF1" w:rsidR="0037598A" w:rsidRPr="00FF57FD" w:rsidRDefault="0037598A" w:rsidP="0037598A">
      <w:pPr>
        <w:spacing w:after="0" w:line="240" w:lineRule="auto"/>
        <w:jc w:val="center"/>
        <w:rPr>
          <w:rFonts w:ascii="Times New Roman" w:hAnsi="Times New Roman" w:cs="Times New Roman"/>
          <w:b/>
          <w:bCs/>
          <w:sz w:val="56"/>
          <w:szCs w:val="56"/>
        </w:rPr>
      </w:pPr>
      <w:r w:rsidRPr="00FF57FD">
        <w:rPr>
          <w:rFonts w:ascii="Times New Roman" w:hAnsi="Times New Roman" w:cs="Times New Roman"/>
          <w:b/>
          <w:bCs/>
          <w:sz w:val="56"/>
          <w:szCs w:val="56"/>
        </w:rPr>
        <w:t>Top 10 Primer on Employment Law</w:t>
      </w:r>
    </w:p>
    <w:p w14:paraId="28D92EB7" w14:textId="6E8EAD50" w:rsidR="0037598A" w:rsidRPr="00FF57FD" w:rsidRDefault="0037598A" w:rsidP="0037598A">
      <w:pPr>
        <w:spacing w:after="0" w:line="240" w:lineRule="auto"/>
        <w:jc w:val="center"/>
        <w:rPr>
          <w:rFonts w:ascii="Times New Roman" w:hAnsi="Times New Roman" w:cs="Times New Roman"/>
          <w:b/>
          <w:bCs/>
          <w:sz w:val="56"/>
          <w:szCs w:val="56"/>
        </w:rPr>
      </w:pPr>
      <w:r w:rsidRPr="00FF57FD">
        <w:rPr>
          <w:rFonts w:ascii="Times New Roman" w:hAnsi="Times New Roman" w:cs="Times New Roman"/>
          <w:b/>
          <w:bCs/>
          <w:sz w:val="56"/>
          <w:szCs w:val="56"/>
        </w:rPr>
        <w:t>For Local Elected Officials</w:t>
      </w:r>
    </w:p>
    <w:p w14:paraId="5E470E28" w14:textId="77777777" w:rsidR="0037598A" w:rsidRPr="0037598A" w:rsidRDefault="0037598A" w:rsidP="0037598A">
      <w:pPr>
        <w:spacing w:after="0" w:line="240" w:lineRule="auto"/>
        <w:jc w:val="center"/>
        <w:rPr>
          <w:rFonts w:ascii="Times New Roman" w:hAnsi="Times New Roman" w:cs="Times New Roman"/>
          <w:b/>
          <w:bCs/>
        </w:rPr>
      </w:pPr>
    </w:p>
    <w:p w14:paraId="5EC8B572" w14:textId="77777777" w:rsidR="0037598A" w:rsidRDefault="0037598A" w:rsidP="0037598A">
      <w:pPr>
        <w:spacing w:after="0" w:line="240" w:lineRule="auto"/>
        <w:jc w:val="center"/>
        <w:rPr>
          <w:rFonts w:ascii="Times New Roman" w:hAnsi="Times New Roman" w:cs="Times New Roman"/>
          <w:b/>
          <w:bCs/>
        </w:rPr>
      </w:pPr>
    </w:p>
    <w:p w14:paraId="0AF40684" w14:textId="77777777" w:rsidR="00B071D1" w:rsidRDefault="00B071D1" w:rsidP="0037598A">
      <w:pPr>
        <w:spacing w:after="0" w:line="240" w:lineRule="auto"/>
        <w:jc w:val="center"/>
        <w:rPr>
          <w:rFonts w:ascii="Times New Roman" w:hAnsi="Times New Roman" w:cs="Times New Roman"/>
          <w:b/>
          <w:bCs/>
        </w:rPr>
      </w:pPr>
    </w:p>
    <w:p w14:paraId="0518A84A" w14:textId="77777777" w:rsidR="00B071D1" w:rsidRPr="0037598A" w:rsidRDefault="00B071D1" w:rsidP="0037598A">
      <w:pPr>
        <w:spacing w:after="0" w:line="240" w:lineRule="auto"/>
        <w:jc w:val="center"/>
        <w:rPr>
          <w:rFonts w:ascii="Times New Roman" w:hAnsi="Times New Roman" w:cs="Times New Roman"/>
          <w:b/>
          <w:bCs/>
        </w:rPr>
      </w:pPr>
    </w:p>
    <w:p w14:paraId="0CD52633" w14:textId="5554E27F" w:rsidR="0037598A" w:rsidRPr="0037598A" w:rsidRDefault="0037598A" w:rsidP="0037598A">
      <w:pPr>
        <w:spacing w:after="0" w:line="240" w:lineRule="auto"/>
        <w:jc w:val="center"/>
        <w:rPr>
          <w:rFonts w:ascii="Times New Roman" w:hAnsi="Times New Roman" w:cs="Times New Roman"/>
          <w:sz w:val="36"/>
          <w:szCs w:val="36"/>
        </w:rPr>
      </w:pPr>
      <w:r w:rsidRPr="0037598A">
        <w:rPr>
          <w:rFonts w:ascii="Times New Roman" w:hAnsi="Times New Roman" w:cs="Times New Roman"/>
          <w:sz w:val="36"/>
          <w:szCs w:val="36"/>
        </w:rPr>
        <w:t>Robert Joyce</w:t>
      </w:r>
    </w:p>
    <w:p w14:paraId="7CDFB2A2" w14:textId="767FC081" w:rsidR="0037598A" w:rsidRPr="0037598A" w:rsidRDefault="0037598A" w:rsidP="0037598A">
      <w:pPr>
        <w:spacing w:after="0" w:line="240" w:lineRule="auto"/>
        <w:jc w:val="center"/>
        <w:rPr>
          <w:rFonts w:ascii="Times New Roman" w:hAnsi="Times New Roman" w:cs="Times New Roman"/>
          <w:sz w:val="36"/>
          <w:szCs w:val="36"/>
        </w:rPr>
      </w:pPr>
      <w:r w:rsidRPr="0037598A">
        <w:rPr>
          <w:rFonts w:ascii="Times New Roman" w:hAnsi="Times New Roman" w:cs="Times New Roman"/>
          <w:sz w:val="36"/>
          <w:szCs w:val="36"/>
        </w:rPr>
        <w:t>School of Government</w:t>
      </w:r>
    </w:p>
    <w:p w14:paraId="5BED50C5" w14:textId="341DDF79" w:rsidR="0037598A" w:rsidRPr="0037598A" w:rsidRDefault="0037598A" w:rsidP="0037598A">
      <w:pPr>
        <w:spacing w:after="0" w:line="240" w:lineRule="auto"/>
        <w:jc w:val="center"/>
        <w:rPr>
          <w:rFonts w:ascii="Times New Roman" w:hAnsi="Times New Roman" w:cs="Times New Roman"/>
          <w:sz w:val="36"/>
          <w:szCs w:val="36"/>
        </w:rPr>
      </w:pPr>
      <w:r w:rsidRPr="0037598A">
        <w:rPr>
          <w:rFonts w:ascii="Times New Roman" w:hAnsi="Times New Roman" w:cs="Times New Roman"/>
          <w:sz w:val="36"/>
          <w:szCs w:val="36"/>
        </w:rPr>
        <w:t>University of North Carolina at Chapel Hill</w:t>
      </w:r>
    </w:p>
    <w:p w14:paraId="6064027E" w14:textId="77777777" w:rsidR="0037598A" w:rsidRPr="0037598A" w:rsidRDefault="0037598A" w:rsidP="0037598A">
      <w:pPr>
        <w:spacing w:after="0" w:line="240" w:lineRule="auto"/>
        <w:jc w:val="center"/>
        <w:rPr>
          <w:rFonts w:ascii="Times New Roman" w:hAnsi="Times New Roman" w:cs="Times New Roman"/>
        </w:rPr>
      </w:pPr>
    </w:p>
    <w:p w14:paraId="2D6719F8" w14:textId="78CEE46B" w:rsidR="0037598A" w:rsidRPr="0037598A" w:rsidRDefault="0037598A" w:rsidP="0037598A">
      <w:pPr>
        <w:spacing w:after="0" w:line="240" w:lineRule="auto"/>
        <w:jc w:val="center"/>
        <w:rPr>
          <w:rFonts w:ascii="Times New Roman" w:hAnsi="Times New Roman" w:cs="Times New Roman"/>
          <w:sz w:val="28"/>
          <w:szCs w:val="28"/>
        </w:rPr>
      </w:pPr>
      <w:r w:rsidRPr="0037598A">
        <w:rPr>
          <w:rFonts w:ascii="Times New Roman" w:hAnsi="Times New Roman" w:cs="Times New Roman"/>
          <w:sz w:val="28"/>
          <w:szCs w:val="28"/>
        </w:rPr>
        <w:t>April 2, 2026</w:t>
      </w:r>
    </w:p>
    <w:p w14:paraId="53F6EC33" w14:textId="77777777" w:rsidR="0037598A" w:rsidRDefault="0037598A" w:rsidP="0037598A">
      <w:pPr>
        <w:spacing w:after="0" w:line="240" w:lineRule="auto"/>
        <w:rPr>
          <w:rFonts w:ascii="Times New Roman" w:hAnsi="Times New Roman" w:cs="Times New Roman"/>
        </w:rPr>
      </w:pPr>
    </w:p>
    <w:p w14:paraId="633E1C52" w14:textId="77777777" w:rsidR="00B071D1" w:rsidRDefault="00B071D1" w:rsidP="0037598A">
      <w:pPr>
        <w:spacing w:after="0" w:line="240" w:lineRule="auto"/>
        <w:rPr>
          <w:rFonts w:ascii="Times New Roman" w:hAnsi="Times New Roman" w:cs="Times New Roman"/>
        </w:rPr>
      </w:pPr>
    </w:p>
    <w:p w14:paraId="23A3D69D" w14:textId="77777777" w:rsidR="003F4FD5" w:rsidRDefault="003F4FD5" w:rsidP="0037598A">
      <w:pPr>
        <w:spacing w:after="0" w:line="240" w:lineRule="auto"/>
        <w:rPr>
          <w:rFonts w:ascii="Times New Roman" w:hAnsi="Times New Roman" w:cs="Times New Roman"/>
        </w:rPr>
      </w:pPr>
    </w:p>
    <w:p w14:paraId="6A481039" w14:textId="77777777" w:rsidR="00B071D1" w:rsidRDefault="00B071D1" w:rsidP="0037598A">
      <w:pPr>
        <w:spacing w:after="0" w:line="240" w:lineRule="auto"/>
        <w:rPr>
          <w:rFonts w:ascii="Times New Roman" w:hAnsi="Times New Roman" w:cs="Times New Roman"/>
        </w:rPr>
      </w:pPr>
    </w:p>
    <w:p w14:paraId="3A313656" w14:textId="77777777" w:rsidR="00B071D1" w:rsidRDefault="00B071D1" w:rsidP="0037598A">
      <w:pPr>
        <w:spacing w:after="0" w:line="240" w:lineRule="auto"/>
        <w:rPr>
          <w:rFonts w:ascii="Times New Roman" w:hAnsi="Times New Roman" w:cs="Times New Roman"/>
        </w:rPr>
      </w:pPr>
    </w:p>
    <w:p w14:paraId="12F39D95" w14:textId="01C55E70" w:rsidR="00B071D1" w:rsidRPr="00B071D1" w:rsidRDefault="00B071D1" w:rsidP="00B071D1">
      <w:pPr>
        <w:spacing w:after="0" w:line="240" w:lineRule="auto"/>
        <w:jc w:val="center"/>
        <w:rPr>
          <w:rFonts w:ascii="Times New Roman" w:hAnsi="Times New Roman" w:cs="Times New Roman"/>
          <w:sz w:val="36"/>
          <w:szCs w:val="36"/>
          <w:u w:val="single"/>
        </w:rPr>
      </w:pPr>
      <w:r w:rsidRPr="00B071D1">
        <w:rPr>
          <w:rFonts w:ascii="Times New Roman" w:hAnsi="Times New Roman" w:cs="Times New Roman"/>
          <w:sz w:val="36"/>
          <w:szCs w:val="36"/>
          <w:u w:val="single"/>
        </w:rPr>
        <w:t>Background Readings</w:t>
      </w:r>
    </w:p>
    <w:p w14:paraId="7682FD59" w14:textId="77777777" w:rsidR="003F4FD5" w:rsidRDefault="003F4FD5" w:rsidP="0037598A">
      <w:pPr>
        <w:spacing w:after="0" w:line="240" w:lineRule="auto"/>
        <w:rPr>
          <w:rFonts w:ascii="Times New Roman" w:hAnsi="Times New Roman" w:cs="Times New Roman"/>
        </w:rPr>
      </w:pPr>
    </w:p>
    <w:p w14:paraId="48594576" w14:textId="77777777" w:rsidR="0037598A" w:rsidRDefault="0037598A" w:rsidP="0037598A">
      <w:pPr>
        <w:spacing w:after="0" w:line="240" w:lineRule="auto"/>
        <w:rPr>
          <w:rFonts w:ascii="Times New Roman" w:hAnsi="Times New Roman" w:cs="Times New Roman"/>
        </w:rPr>
      </w:pPr>
    </w:p>
    <w:p w14:paraId="43F30674" w14:textId="6431D655" w:rsidR="003F4FD5" w:rsidRPr="003F4FD5" w:rsidRDefault="00FF57FD" w:rsidP="00FF57FD">
      <w:pPr>
        <w:spacing w:after="0" w:line="240" w:lineRule="auto"/>
        <w:rPr>
          <w:rFonts w:ascii="Times New Roman" w:hAnsi="Times New Roman" w:cs="Times New Roman"/>
          <w:b/>
          <w:bCs/>
        </w:rPr>
      </w:pPr>
      <w:r>
        <w:rPr>
          <w:rFonts w:ascii="Times New Roman" w:hAnsi="Times New Roman" w:cs="Times New Roman"/>
        </w:rPr>
        <w:t>“Employment at Will” vs. “Right to Work”</w:t>
      </w:r>
      <w:r>
        <w:rPr>
          <w:rFonts w:ascii="Times New Roman" w:hAnsi="Times New Roman" w:cs="Times New Roman"/>
        </w:rPr>
        <w:tab/>
      </w:r>
      <w:r>
        <w:rPr>
          <w:rFonts w:ascii="Times New Roman" w:hAnsi="Times New Roman" w:cs="Times New Roman"/>
        </w:rPr>
        <w:tab/>
      </w:r>
      <w:r w:rsidR="00B071D1">
        <w:rPr>
          <w:rFonts w:ascii="Times New Roman" w:hAnsi="Times New Roman" w:cs="Times New Roman"/>
        </w:rPr>
        <w:t>………………………………</w:t>
      </w:r>
      <w:r>
        <w:rPr>
          <w:rFonts w:ascii="Times New Roman" w:hAnsi="Times New Roman" w:cs="Times New Roman"/>
        </w:rPr>
        <w:tab/>
        <w:t xml:space="preserve">  </w:t>
      </w:r>
      <w:r w:rsidR="00130246">
        <w:rPr>
          <w:rFonts w:ascii="Times New Roman" w:hAnsi="Times New Roman" w:cs="Times New Roman"/>
        </w:rPr>
        <w:t>3</w:t>
      </w:r>
    </w:p>
    <w:p w14:paraId="670832DB" w14:textId="77777777" w:rsidR="003F4FD5" w:rsidRDefault="003F4FD5" w:rsidP="00FF57FD">
      <w:pPr>
        <w:spacing w:after="0" w:line="240" w:lineRule="auto"/>
        <w:rPr>
          <w:rFonts w:ascii="Times New Roman" w:hAnsi="Times New Roman" w:cs="Times New Roman"/>
        </w:rPr>
      </w:pPr>
    </w:p>
    <w:p w14:paraId="2EA6D551" w14:textId="2C445274" w:rsid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Firing At-Will Employees:  Legal Limitations</w:t>
      </w:r>
      <w:r>
        <w:rPr>
          <w:rFonts w:ascii="Times New Roman" w:hAnsi="Times New Roman" w:cs="Times New Roman"/>
        </w:rPr>
        <w:tab/>
      </w:r>
      <w:r w:rsidR="00656A9A">
        <w:rPr>
          <w:rFonts w:ascii="Times New Roman" w:hAnsi="Times New Roman" w:cs="Times New Roman"/>
        </w:rPr>
        <w:t>………………………………</w:t>
      </w:r>
      <w:r>
        <w:rPr>
          <w:rFonts w:ascii="Times New Roman" w:hAnsi="Times New Roman" w:cs="Times New Roman"/>
        </w:rPr>
        <w:tab/>
        <w:t xml:space="preserve">  </w:t>
      </w:r>
      <w:r w:rsidR="00130246">
        <w:rPr>
          <w:rFonts w:ascii="Times New Roman" w:hAnsi="Times New Roman" w:cs="Times New Roman"/>
        </w:rPr>
        <w:t>6</w:t>
      </w:r>
    </w:p>
    <w:p w14:paraId="05C15573" w14:textId="77777777" w:rsidR="003F4FD5" w:rsidRDefault="003F4FD5" w:rsidP="00FF57FD">
      <w:pPr>
        <w:spacing w:after="0" w:line="240" w:lineRule="auto"/>
        <w:rPr>
          <w:rFonts w:ascii="Times New Roman" w:hAnsi="Times New Roman" w:cs="Times New Roman"/>
        </w:rPr>
      </w:pPr>
    </w:p>
    <w:p w14:paraId="387F3762" w14:textId="10A9AE97" w:rsid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Hiring and Firing Authority</w:t>
      </w:r>
      <w:r>
        <w:rPr>
          <w:rFonts w:ascii="Times New Roman" w:hAnsi="Times New Roman" w:cs="Times New Roman"/>
        </w:rPr>
        <w:t xml:space="preserve"> </w:t>
      </w:r>
      <w:r w:rsidRPr="00FF57FD">
        <w:rPr>
          <w:rFonts w:ascii="Times New Roman" w:hAnsi="Times New Roman" w:cs="Times New Roman"/>
        </w:rPr>
        <w:t>in North Carolina Government:</w:t>
      </w:r>
      <w:r w:rsidR="003F4FD5">
        <w:rPr>
          <w:rFonts w:ascii="Times New Roman" w:hAnsi="Times New Roman" w:cs="Times New Roman"/>
        </w:rPr>
        <w:t xml:space="preserve"> </w:t>
      </w:r>
      <w:r w:rsidRPr="00FF57FD">
        <w:rPr>
          <w:rFonts w:ascii="Times New Roman" w:hAnsi="Times New Roman" w:cs="Times New Roman"/>
        </w:rPr>
        <w:t>What the Statutes Say</w:t>
      </w:r>
      <w:r w:rsidR="003F4FD5">
        <w:rPr>
          <w:rFonts w:ascii="Times New Roman" w:hAnsi="Times New Roman" w:cs="Times New Roman"/>
        </w:rPr>
        <w:tab/>
      </w:r>
      <w:r w:rsidR="00B071D1">
        <w:rPr>
          <w:rFonts w:ascii="Times New Roman" w:hAnsi="Times New Roman" w:cs="Times New Roman"/>
        </w:rPr>
        <w:t>.</w:t>
      </w:r>
      <w:r w:rsidR="003F4FD5">
        <w:rPr>
          <w:rFonts w:ascii="Times New Roman" w:hAnsi="Times New Roman" w:cs="Times New Roman"/>
        </w:rPr>
        <w:tab/>
        <w:t>1</w:t>
      </w:r>
      <w:r w:rsidR="00130246">
        <w:rPr>
          <w:rFonts w:ascii="Times New Roman" w:hAnsi="Times New Roman" w:cs="Times New Roman"/>
        </w:rPr>
        <w:t>1</w:t>
      </w:r>
    </w:p>
    <w:p w14:paraId="1316D29D" w14:textId="77777777" w:rsidR="003F4FD5" w:rsidRDefault="003F4FD5" w:rsidP="003F4FD5">
      <w:pPr>
        <w:spacing w:after="0" w:line="240" w:lineRule="auto"/>
        <w:rPr>
          <w:rFonts w:ascii="Times New Roman" w:hAnsi="Times New Roman" w:cs="Times New Roman"/>
        </w:rPr>
      </w:pPr>
    </w:p>
    <w:p w14:paraId="0DA1ED14" w14:textId="62057CD4" w:rsidR="003F4FD5" w:rsidRDefault="003F4FD5" w:rsidP="003F4FD5">
      <w:pPr>
        <w:spacing w:after="0" w:line="240" w:lineRule="auto"/>
        <w:rPr>
          <w:rFonts w:ascii="Times New Roman" w:hAnsi="Times New Roman" w:cs="Times New Roman"/>
        </w:rPr>
      </w:pPr>
      <w:r w:rsidRPr="003F4FD5">
        <w:rPr>
          <w:rFonts w:ascii="Times New Roman" w:hAnsi="Times New Roman" w:cs="Times New Roman"/>
        </w:rPr>
        <w:t>An Overview of Antidiscrimination Law</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2</w:t>
      </w:r>
      <w:r w:rsidR="00130246">
        <w:rPr>
          <w:rFonts w:ascii="Times New Roman" w:hAnsi="Times New Roman" w:cs="Times New Roman"/>
        </w:rPr>
        <w:t>2</w:t>
      </w:r>
    </w:p>
    <w:p w14:paraId="597E9183" w14:textId="77777777" w:rsidR="003F4FD5" w:rsidRDefault="003F4FD5" w:rsidP="003F4FD5">
      <w:pPr>
        <w:spacing w:after="0" w:line="240" w:lineRule="auto"/>
        <w:rPr>
          <w:rFonts w:ascii="Times New Roman" w:hAnsi="Times New Roman" w:cs="Times New Roman"/>
        </w:rPr>
      </w:pPr>
    </w:p>
    <w:p w14:paraId="09D54B80" w14:textId="20C58454" w:rsidR="003F4FD5" w:rsidRDefault="003F4FD5" w:rsidP="003F4FD5">
      <w:pPr>
        <w:spacing w:after="0" w:line="240" w:lineRule="auto"/>
        <w:rPr>
          <w:rFonts w:ascii="Times New Roman" w:hAnsi="Times New Roman" w:cs="Times New Roman"/>
        </w:rPr>
      </w:pPr>
      <w:r w:rsidRPr="003F4FD5">
        <w:rPr>
          <w:rFonts w:ascii="Times New Roman" w:hAnsi="Times New Roman" w:cs="Times New Roman"/>
        </w:rPr>
        <w:t>The Fourteenth Amendment and Property Rights in Employment</w:t>
      </w:r>
      <w:r>
        <w:rPr>
          <w:rFonts w:ascii="Times New Roman" w:hAnsi="Times New Roman" w:cs="Times New Roman"/>
        </w:rPr>
        <w:t xml:space="preserve">    ……………….</w:t>
      </w:r>
      <w:r>
        <w:rPr>
          <w:rFonts w:ascii="Times New Roman" w:hAnsi="Times New Roman" w:cs="Times New Roman"/>
        </w:rPr>
        <w:tab/>
        <w:t>3</w:t>
      </w:r>
      <w:r w:rsidR="00130246">
        <w:rPr>
          <w:rFonts w:ascii="Times New Roman" w:hAnsi="Times New Roman" w:cs="Times New Roman"/>
        </w:rPr>
        <w:t>4</w:t>
      </w:r>
    </w:p>
    <w:p w14:paraId="165EFB69" w14:textId="77777777" w:rsidR="003F4FD5" w:rsidRDefault="003F4FD5" w:rsidP="003F4FD5">
      <w:pPr>
        <w:spacing w:after="0" w:line="240" w:lineRule="auto"/>
        <w:rPr>
          <w:rFonts w:ascii="Times New Roman" w:hAnsi="Times New Roman" w:cs="Times New Roman"/>
        </w:rPr>
      </w:pPr>
    </w:p>
    <w:p w14:paraId="54F595DD" w14:textId="3F1CDB4C" w:rsidR="003F4FD5" w:rsidRPr="003F4FD5" w:rsidRDefault="003F4FD5" w:rsidP="003F4FD5">
      <w:pPr>
        <w:spacing w:after="0" w:line="240" w:lineRule="auto"/>
        <w:rPr>
          <w:rFonts w:ascii="Times New Roman" w:hAnsi="Times New Roman" w:cs="Times New Roman"/>
        </w:rPr>
      </w:pPr>
      <w:r w:rsidRPr="003F4FD5">
        <w:rPr>
          <w:rFonts w:ascii="Times New Roman" w:hAnsi="Times New Roman" w:cs="Times New Roman"/>
        </w:rPr>
        <w:t>Personnel Records</w:t>
      </w:r>
      <w:r>
        <w:rPr>
          <w:rFonts w:ascii="Times New Roman" w:hAnsi="Times New Roman" w:cs="Times New Roman"/>
        </w:rPr>
        <w:t xml:space="preserve">:  </w:t>
      </w:r>
      <w:r w:rsidRPr="003F4FD5">
        <w:rPr>
          <w:rFonts w:ascii="Times New Roman" w:hAnsi="Times New Roman" w:cs="Times New Roman"/>
        </w:rPr>
        <w:t>What They Are and When They Can Be Disclosed</w:t>
      </w:r>
      <w:r>
        <w:rPr>
          <w:rFonts w:ascii="Times New Roman" w:hAnsi="Times New Roman" w:cs="Times New Roman"/>
        </w:rPr>
        <w:t xml:space="preserve">    ………</w:t>
      </w:r>
      <w:r w:rsidR="00B071D1">
        <w:rPr>
          <w:rFonts w:ascii="Times New Roman" w:hAnsi="Times New Roman" w:cs="Times New Roman"/>
        </w:rPr>
        <w:t>….</w:t>
      </w:r>
      <w:r>
        <w:rPr>
          <w:rFonts w:ascii="Times New Roman" w:hAnsi="Times New Roman" w:cs="Times New Roman"/>
        </w:rPr>
        <w:tab/>
        <w:t>3</w:t>
      </w:r>
      <w:r w:rsidR="00130246">
        <w:rPr>
          <w:rFonts w:ascii="Times New Roman" w:hAnsi="Times New Roman" w:cs="Times New Roman"/>
        </w:rPr>
        <w:t>9</w:t>
      </w:r>
    </w:p>
    <w:p w14:paraId="1A0C8DA4" w14:textId="77777777" w:rsidR="003F4FD5" w:rsidRDefault="003F4FD5" w:rsidP="003F4FD5">
      <w:pPr>
        <w:spacing w:after="0" w:line="240" w:lineRule="auto"/>
        <w:rPr>
          <w:rFonts w:ascii="Times New Roman" w:hAnsi="Times New Roman" w:cs="Times New Roman"/>
        </w:rPr>
      </w:pPr>
    </w:p>
    <w:p w14:paraId="47F2C8D0" w14:textId="4C42CA18" w:rsidR="00F243FC" w:rsidRPr="00F243FC" w:rsidRDefault="00F243FC" w:rsidP="00F243FC">
      <w:pPr>
        <w:spacing w:after="0" w:line="240" w:lineRule="auto"/>
        <w:rPr>
          <w:rFonts w:ascii="Times New Roman" w:hAnsi="Times New Roman" w:cs="Times New Roman"/>
        </w:rPr>
      </w:pPr>
      <w:r w:rsidRPr="00F243FC">
        <w:rPr>
          <w:rFonts w:ascii="Times New Roman" w:hAnsi="Times New Roman" w:cs="Times New Roman"/>
        </w:rPr>
        <w:t>Links to Useful Coates Canons Blog Posts</w:t>
      </w:r>
      <w:r>
        <w:rPr>
          <w:rFonts w:ascii="Times New Roman" w:hAnsi="Times New Roman" w:cs="Times New Roman"/>
        </w:rPr>
        <w:tab/>
        <w:t>………………………………………….</w:t>
      </w:r>
      <w:r>
        <w:rPr>
          <w:rFonts w:ascii="Times New Roman" w:hAnsi="Times New Roman" w:cs="Times New Roman"/>
        </w:rPr>
        <w:tab/>
        <w:t>4</w:t>
      </w:r>
      <w:r w:rsidR="00130246">
        <w:rPr>
          <w:rFonts w:ascii="Times New Roman" w:hAnsi="Times New Roman" w:cs="Times New Roman"/>
        </w:rPr>
        <w:t>5</w:t>
      </w:r>
    </w:p>
    <w:p w14:paraId="2C063C3B" w14:textId="77777777" w:rsidR="003F4FD5" w:rsidRPr="003F4FD5" w:rsidRDefault="003F4FD5" w:rsidP="003F4FD5">
      <w:pPr>
        <w:spacing w:after="0" w:line="240" w:lineRule="auto"/>
        <w:rPr>
          <w:rFonts w:ascii="Times New Roman" w:hAnsi="Times New Roman" w:cs="Times New Roman"/>
        </w:rPr>
      </w:pPr>
    </w:p>
    <w:p w14:paraId="56BE31FC" w14:textId="77777777" w:rsidR="003F4FD5" w:rsidRPr="00FF57FD" w:rsidRDefault="003F4FD5" w:rsidP="003F4FD5">
      <w:pPr>
        <w:spacing w:after="0" w:line="240" w:lineRule="auto"/>
        <w:rPr>
          <w:rFonts w:ascii="Times New Roman" w:hAnsi="Times New Roman" w:cs="Times New Roman"/>
          <w:b/>
          <w:bCs/>
        </w:rPr>
      </w:pPr>
    </w:p>
    <w:p w14:paraId="2BA7F1C9" w14:textId="77777777" w:rsidR="003F4FD5" w:rsidRPr="003F4FD5" w:rsidRDefault="003F4FD5" w:rsidP="003F4FD5">
      <w:pPr>
        <w:spacing w:after="0" w:line="240" w:lineRule="auto"/>
        <w:rPr>
          <w:rFonts w:ascii="Times New Roman" w:hAnsi="Times New Roman" w:cs="Times New Roman"/>
        </w:rPr>
      </w:pPr>
    </w:p>
    <w:p w14:paraId="5113BCD9" w14:textId="77777777" w:rsidR="003F4FD5" w:rsidRPr="00FF57FD" w:rsidRDefault="003F4FD5" w:rsidP="003F4FD5">
      <w:pPr>
        <w:spacing w:after="0" w:line="240" w:lineRule="auto"/>
        <w:rPr>
          <w:rFonts w:ascii="Times New Roman" w:hAnsi="Times New Roman" w:cs="Times New Roman"/>
          <w:b/>
          <w:bCs/>
        </w:rPr>
      </w:pPr>
    </w:p>
    <w:p w14:paraId="7AF70DBB" w14:textId="77777777" w:rsidR="003F4FD5" w:rsidRPr="00FF57FD" w:rsidRDefault="003F4FD5" w:rsidP="00FF57FD">
      <w:pPr>
        <w:spacing w:after="0" w:line="240" w:lineRule="auto"/>
        <w:rPr>
          <w:rFonts w:ascii="Times New Roman" w:hAnsi="Times New Roman" w:cs="Times New Roman"/>
        </w:rPr>
      </w:pPr>
    </w:p>
    <w:p w14:paraId="2E0A2657" w14:textId="77777777" w:rsidR="00FF57FD" w:rsidRPr="00FF57FD" w:rsidRDefault="00FF57FD" w:rsidP="00FF57FD">
      <w:pPr>
        <w:spacing w:after="0" w:line="240" w:lineRule="auto"/>
        <w:rPr>
          <w:rFonts w:ascii="Times New Roman" w:hAnsi="Times New Roman" w:cs="Times New Roman"/>
        </w:rPr>
      </w:pPr>
    </w:p>
    <w:p w14:paraId="2C7D9D30" w14:textId="5B80ED50" w:rsidR="0037598A" w:rsidRDefault="00FF57FD" w:rsidP="00FF57F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38EF8073" w14:textId="6C0EB398" w:rsidR="0037598A" w:rsidRDefault="0037598A">
      <w:pPr>
        <w:rPr>
          <w:rFonts w:ascii="Times New Roman" w:hAnsi="Times New Roman" w:cs="Times New Roman"/>
        </w:rPr>
      </w:pPr>
      <w:r>
        <w:rPr>
          <w:rFonts w:ascii="Times New Roman" w:hAnsi="Times New Roman" w:cs="Times New Roman"/>
        </w:rPr>
        <w:lastRenderedPageBreak/>
        <w:br w:type="page"/>
      </w:r>
    </w:p>
    <w:p w14:paraId="70719AD9" w14:textId="77777777" w:rsidR="0037598A" w:rsidRPr="00FF57FD" w:rsidRDefault="0037598A" w:rsidP="0037598A">
      <w:pPr>
        <w:spacing w:after="0" w:line="240" w:lineRule="auto"/>
        <w:jc w:val="center"/>
        <w:rPr>
          <w:rFonts w:ascii="Times New Roman" w:hAnsi="Times New Roman" w:cs="Times New Roman"/>
          <w:b/>
          <w:bCs/>
          <w:sz w:val="44"/>
          <w:szCs w:val="44"/>
        </w:rPr>
      </w:pPr>
      <w:r w:rsidRPr="00FF57FD">
        <w:rPr>
          <w:rFonts w:ascii="Times New Roman" w:hAnsi="Times New Roman" w:cs="Times New Roman"/>
          <w:b/>
          <w:bCs/>
          <w:sz w:val="44"/>
          <w:szCs w:val="44"/>
        </w:rPr>
        <w:lastRenderedPageBreak/>
        <w:t>“Employment at Will” vs. “Right to Work”</w:t>
      </w:r>
    </w:p>
    <w:p w14:paraId="514E67C0" w14:textId="77777777" w:rsidR="0037598A" w:rsidRPr="00FF57FD" w:rsidRDefault="0037598A" w:rsidP="0037598A">
      <w:pPr>
        <w:spacing w:after="0" w:line="240" w:lineRule="auto"/>
        <w:rPr>
          <w:rFonts w:ascii="Times New Roman" w:hAnsi="Times New Roman" w:cs="Times New Roman"/>
          <w:b/>
          <w:bCs/>
          <w:sz w:val="44"/>
          <w:szCs w:val="44"/>
        </w:rPr>
      </w:pPr>
    </w:p>
    <w:p w14:paraId="47EF0066" w14:textId="77777777" w:rsidR="0037598A" w:rsidRDefault="0037598A" w:rsidP="0037598A">
      <w:pPr>
        <w:spacing w:after="0" w:line="240" w:lineRule="auto"/>
        <w:rPr>
          <w:rFonts w:ascii="Times New Roman" w:hAnsi="Times New Roman" w:cs="Times New Roman"/>
        </w:rPr>
      </w:pPr>
    </w:p>
    <w:p w14:paraId="36EF261E" w14:textId="77777777" w:rsidR="0037598A" w:rsidRDefault="0037598A" w:rsidP="0037598A">
      <w:pPr>
        <w:spacing w:after="0" w:line="240" w:lineRule="auto"/>
        <w:ind w:firstLine="720"/>
        <w:rPr>
          <w:rFonts w:ascii="Times New Roman" w:hAnsi="Times New Roman" w:cs="Times New Roman"/>
        </w:rPr>
      </w:pPr>
      <w:r w:rsidRPr="00647E32">
        <w:rPr>
          <w:rFonts w:ascii="Times New Roman" w:hAnsi="Times New Roman" w:cs="Times New Roman"/>
        </w:rPr>
        <w:t>Here are two terms that people get mixed up all the time:</w:t>
      </w:r>
      <w:r>
        <w:rPr>
          <w:rFonts w:ascii="Times New Roman" w:hAnsi="Times New Roman" w:cs="Times New Roman"/>
        </w:rPr>
        <w:t xml:space="preserve"> </w:t>
      </w:r>
      <w:r w:rsidRPr="00647E32">
        <w:rPr>
          <w:rFonts w:ascii="Times New Roman" w:hAnsi="Times New Roman" w:cs="Times New Roman"/>
        </w:rPr>
        <w:t>“employment at will” and “right to work.”</w:t>
      </w:r>
      <w:r>
        <w:rPr>
          <w:rFonts w:ascii="Times New Roman" w:hAnsi="Times New Roman" w:cs="Times New Roman"/>
        </w:rPr>
        <w:t xml:space="preserve"> </w:t>
      </w:r>
      <w:r w:rsidRPr="00647E32">
        <w:rPr>
          <w:rFonts w:ascii="Times New Roman" w:hAnsi="Times New Roman" w:cs="Times New Roman"/>
        </w:rPr>
        <w:t xml:space="preserve"> Is North Carolina an employment-at-will state?</w:t>
      </w:r>
      <w:r>
        <w:rPr>
          <w:rFonts w:ascii="Times New Roman" w:hAnsi="Times New Roman" w:cs="Times New Roman"/>
        </w:rPr>
        <w:t xml:space="preserve"> </w:t>
      </w:r>
      <w:r w:rsidRPr="00647E32">
        <w:rPr>
          <w:rFonts w:ascii="Times New Roman" w:hAnsi="Times New Roman" w:cs="Times New Roman"/>
        </w:rPr>
        <w:t xml:space="preserve"> Yes.</w:t>
      </w:r>
      <w:r>
        <w:rPr>
          <w:rFonts w:ascii="Times New Roman" w:hAnsi="Times New Roman" w:cs="Times New Roman"/>
        </w:rPr>
        <w:t xml:space="preserve"> </w:t>
      </w:r>
      <w:r w:rsidRPr="00647E32">
        <w:rPr>
          <w:rFonts w:ascii="Times New Roman" w:hAnsi="Times New Roman" w:cs="Times New Roman"/>
        </w:rPr>
        <w:t xml:space="preserve"> Is North Carolina a right-to-work state?</w:t>
      </w:r>
      <w:r>
        <w:rPr>
          <w:rFonts w:ascii="Times New Roman" w:hAnsi="Times New Roman" w:cs="Times New Roman"/>
        </w:rPr>
        <w:t xml:space="preserve"> </w:t>
      </w:r>
      <w:r w:rsidRPr="00647E32">
        <w:rPr>
          <w:rFonts w:ascii="Times New Roman" w:hAnsi="Times New Roman" w:cs="Times New Roman"/>
        </w:rPr>
        <w:t xml:space="preserve"> Yes.</w:t>
      </w:r>
      <w:r>
        <w:rPr>
          <w:rFonts w:ascii="Times New Roman" w:hAnsi="Times New Roman" w:cs="Times New Roman"/>
        </w:rPr>
        <w:t xml:space="preserve"> </w:t>
      </w:r>
      <w:r w:rsidRPr="00647E32">
        <w:rPr>
          <w:rFonts w:ascii="Times New Roman" w:hAnsi="Times New Roman" w:cs="Times New Roman"/>
        </w:rPr>
        <w:t xml:space="preserve"> But those two terms do not mean the same thing.</w:t>
      </w:r>
      <w:r>
        <w:rPr>
          <w:rFonts w:ascii="Times New Roman" w:hAnsi="Times New Roman" w:cs="Times New Roman"/>
        </w:rPr>
        <w:t xml:space="preserve"> </w:t>
      </w:r>
      <w:r w:rsidRPr="00647E32">
        <w:rPr>
          <w:rFonts w:ascii="Times New Roman" w:hAnsi="Times New Roman" w:cs="Times New Roman"/>
        </w:rPr>
        <w:t xml:space="preserve"> And for state and local governmental employers in North Carolina, one term is very meaningful and the other has no practical consequence.</w:t>
      </w:r>
    </w:p>
    <w:p w14:paraId="0F96174E" w14:textId="77777777" w:rsidR="0037598A" w:rsidRPr="00647E32" w:rsidRDefault="0037598A" w:rsidP="0037598A">
      <w:pPr>
        <w:spacing w:after="0" w:line="240" w:lineRule="auto"/>
        <w:ind w:firstLine="720"/>
        <w:rPr>
          <w:rFonts w:ascii="Times New Roman" w:hAnsi="Times New Roman" w:cs="Times New Roman"/>
        </w:rPr>
      </w:pPr>
    </w:p>
    <w:p w14:paraId="0C08CCFA" w14:textId="77777777" w:rsidR="0037598A" w:rsidRPr="00647E32" w:rsidRDefault="0037598A" w:rsidP="0037598A">
      <w:pPr>
        <w:spacing w:after="0" w:line="240" w:lineRule="auto"/>
        <w:ind w:firstLine="720"/>
        <w:rPr>
          <w:rFonts w:ascii="Times New Roman" w:hAnsi="Times New Roman" w:cs="Times New Roman"/>
        </w:rPr>
      </w:pPr>
      <w:r w:rsidRPr="00647E32">
        <w:rPr>
          <w:rFonts w:ascii="Times New Roman" w:hAnsi="Times New Roman" w:cs="Times New Roman"/>
        </w:rPr>
        <w:t>Let’s look first at the one with no practical consequence:</w:t>
      </w:r>
      <w:r>
        <w:rPr>
          <w:rFonts w:ascii="Times New Roman" w:hAnsi="Times New Roman" w:cs="Times New Roman"/>
        </w:rPr>
        <w:t xml:space="preserve"> </w:t>
      </w:r>
      <w:r w:rsidRPr="00647E32">
        <w:rPr>
          <w:rFonts w:ascii="Times New Roman" w:hAnsi="Times New Roman" w:cs="Times New Roman"/>
        </w:rPr>
        <w:t xml:space="preserve"> right to work.</w:t>
      </w:r>
    </w:p>
    <w:p w14:paraId="48AC4ACB" w14:textId="77777777" w:rsidR="0037598A" w:rsidRDefault="0037598A" w:rsidP="0037598A">
      <w:pPr>
        <w:spacing w:after="0" w:line="240" w:lineRule="auto"/>
        <w:rPr>
          <w:rFonts w:ascii="Times New Roman" w:hAnsi="Times New Roman" w:cs="Times New Roman"/>
        </w:rPr>
      </w:pPr>
    </w:p>
    <w:p w14:paraId="14BE1B86" w14:textId="77777777" w:rsidR="0037598A" w:rsidRPr="00647E32" w:rsidRDefault="0037598A" w:rsidP="0037598A">
      <w:pPr>
        <w:spacing w:after="0" w:line="240" w:lineRule="auto"/>
        <w:ind w:firstLine="720"/>
        <w:rPr>
          <w:rFonts w:ascii="Times New Roman" w:hAnsi="Times New Roman" w:cs="Times New Roman"/>
        </w:rPr>
      </w:pPr>
      <w:r w:rsidRPr="00647E32">
        <w:rPr>
          <w:rFonts w:ascii="Times New Roman" w:hAnsi="Times New Roman" w:cs="Times New Roman"/>
        </w:rPr>
        <w:t>That term is applicable only where the workforce is unionized and the employer and the union have entered into a collective bargaining agreement.</w:t>
      </w:r>
      <w:r>
        <w:rPr>
          <w:rFonts w:ascii="Times New Roman" w:hAnsi="Times New Roman" w:cs="Times New Roman"/>
        </w:rPr>
        <w:t xml:space="preserve">  </w:t>
      </w:r>
      <w:r w:rsidRPr="00647E32">
        <w:rPr>
          <w:rFonts w:ascii="Times New Roman" w:hAnsi="Times New Roman" w:cs="Times New Roman"/>
        </w:rPr>
        <w:t>Suppose a person who is not a member of the union is hired into a job there.</w:t>
      </w:r>
      <w:r>
        <w:rPr>
          <w:rFonts w:ascii="Times New Roman" w:hAnsi="Times New Roman" w:cs="Times New Roman"/>
        </w:rPr>
        <w:t xml:space="preserve">  </w:t>
      </w:r>
      <w:r w:rsidRPr="00647E32">
        <w:rPr>
          <w:rFonts w:ascii="Times New Roman" w:hAnsi="Times New Roman" w:cs="Times New Roman"/>
        </w:rPr>
        <w:t>The benefits of the collective bargaining agreement—pay structure, health insurance, grievance procedure, etc.—will apply to this newly hired employee.</w:t>
      </w:r>
      <w:r>
        <w:rPr>
          <w:rFonts w:ascii="Times New Roman" w:hAnsi="Times New Roman" w:cs="Times New Roman"/>
        </w:rPr>
        <w:t xml:space="preserve"> </w:t>
      </w:r>
      <w:r w:rsidRPr="00647E32">
        <w:rPr>
          <w:rFonts w:ascii="Times New Roman" w:hAnsi="Times New Roman" w:cs="Times New Roman"/>
        </w:rPr>
        <w:t xml:space="preserve"> Does he or she have to join the union or at least pay some of the fees that union members pay?</w:t>
      </w:r>
      <w:r>
        <w:rPr>
          <w:rFonts w:ascii="Times New Roman" w:hAnsi="Times New Roman" w:cs="Times New Roman"/>
        </w:rPr>
        <w:t xml:space="preserve"> </w:t>
      </w:r>
      <w:r w:rsidRPr="00647E32">
        <w:rPr>
          <w:rFonts w:ascii="Times New Roman" w:hAnsi="Times New Roman" w:cs="Times New Roman"/>
        </w:rPr>
        <w:t xml:space="preserve"> The answer to that question depends entirely on state law.</w:t>
      </w:r>
      <w:r>
        <w:rPr>
          <w:rFonts w:ascii="Times New Roman" w:hAnsi="Times New Roman" w:cs="Times New Roman"/>
        </w:rPr>
        <w:t xml:space="preserve"> </w:t>
      </w:r>
      <w:r w:rsidRPr="00647E32">
        <w:rPr>
          <w:rFonts w:ascii="Times New Roman" w:hAnsi="Times New Roman" w:cs="Times New Roman"/>
        </w:rPr>
        <w:t xml:space="preserve"> In a small minority of states, the law will require that the newly hired person join the union (this arrangement is commonly known as a “union shop” arrangement).</w:t>
      </w:r>
      <w:r>
        <w:rPr>
          <w:rFonts w:ascii="Times New Roman" w:hAnsi="Times New Roman" w:cs="Times New Roman"/>
        </w:rPr>
        <w:t xml:space="preserve"> </w:t>
      </w:r>
      <w:r w:rsidRPr="00647E32">
        <w:rPr>
          <w:rFonts w:ascii="Times New Roman" w:hAnsi="Times New Roman" w:cs="Times New Roman"/>
        </w:rPr>
        <w:t xml:space="preserve"> In other states, the law does not require that the newly hired person join the union but does require that he pay to the union an amount equal to union dues (the “agency shop” arrangement) or a portion of the dues that might be thought to reflect the cost to the union of negotiating and administering the collective bargaining agreement (the “fair share” arrangement).</w:t>
      </w:r>
      <w:r>
        <w:rPr>
          <w:rFonts w:ascii="Times New Roman" w:hAnsi="Times New Roman" w:cs="Times New Roman"/>
        </w:rPr>
        <w:t xml:space="preserve">  </w:t>
      </w:r>
      <w:r w:rsidRPr="00647E32">
        <w:rPr>
          <w:rFonts w:ascii="Times New Roman" w:hAnsi="Times New Roman" w:cs="Times New Roman"/>
        </w:rPr>
        <w:t>And in still other states (about 20 or so), the newly hired employee does not have to join the union and does not have to pay the union any fees at all (the “right to work” arrangement).</w:t>
      </w:r>
      <w:r>
        <w:rPr>
          <w:rFonts w:ascii="Times New Roman" w:hAnsi="Times New Roman" w:cs="Times New Roman"/>
        </w:rPr>
        <w:t xml:space="preserve">  </w:t>
      </w:r>
      <w:r w:rsidRPr="00647E32">
        <w:rPr>
          <w:rFonts w:ascii="Times New Roman" w:hAnsi="Times New Roman" w:cs="Times New Roman"/>
        </w:rPr>
        <w:t>States which impose no obligation on employees to join the union or even pay a portion of the union dues are right-to-work states.</w:t>
      </w:r>
      <w:r>
        <w:rPr>
          <w:rFonts w:ascii="Times New Roman" w:hAnsi="Times New Roman" w:cs="Times New Roman"/>
        </w:rPr>
        <w:t xml:space="preserve"> </w:t>
      </w:r>
      <w:r w:rsidRPr="00647E32">
        <w:rPr>
          <w:rFonts w:ascii="Times New Roman" w:hAnsi="Times New Roman" w:cs="Times New Roman"/>
        </w:rPr>
        <w:t xml:space="preserve"> North Carolina is a right-to-work state.</w:t>
      </w:r>
    </w:p>
    <w:p w14:paraId="5C32ABFC" w14:textId="77777777" w:rsidR="0037598A" w:rsidRDefault="0037598A" w:rsidP="0037598A">
      <w:pPr>
        <w:spacing w:after="0" w:line="240" w:lineRule="auto"/>
        <w:rPr>
          <w:rFonts w:ascii="Times New Roman" w:hAnsi="Times New Roman" w:cs="Times New Roman"/>
        </w:rPr>
      </w:pPr>
    </w:p>
    <w:p w14:paraId="1EFCC741" w14:textId="77777777" w:rsidR="0037598A" w:rsidRPr="00647E32" w:rsidRDefault="0037598A" w:rsidP="0037598A">
      <w:pPr>
        <w:spacing w:after="0" w:line="240" w:lineRule="auto"/>
        <w:ind w:firstLine="720"/>
        <w:rPr>
          <w:rFonts w:ascii="Times New Roman" w:hAnsi="Times New Roman" w:cs="Times New Roman"/>
        </w:rPr>
      </w:pPr>
      <w:r w:rsidRPr="00647E32">
        <w:rPr>
          <w:rFonts w:ascii="Times New Roman" w:hAnsi="Times New Roman" w:cs="Times New Roman"/>
        </w:rPr>
        <w:t>Why is that of no practical consequence to governmental employers in North Carolina?</w:t>
      </w:r>
      <w:r>
        <w:rPr>
          <w:rFonts w:ascii="Times New Roman" w:hAnsi="Times New Roman" w:cs="Times New Roman"/>
        </w:rPr>
        <w:t xml:space="preserve"> </w:t>
      </w:r>
      <w:r w:rsidRPr="00647E32">
        <w:rPr>
          <w:rFonts w:ascii="Times New Roman" w:hAnsi="Times New Roman" w:cs="Times New Roman"/>
        </w:rPr>
        <w:t xml:space="preserve"> It’s because North Carolina</w:t>
      </w:r>
      <w:r>
        <w:rPr>
          <w:rFonts w:ascii="Times New Roman" w:hAnsi="Times New Roman" w:cs="Times New Roman"/>
        </w:rPr>
        <w:t xml:space="preserve"> </w:t>
      </w:r>
      <w:hyperlink r:id="rId8" w:tgtFrame="_blank" w:history="1">
        <w:r w:rsidRPr="00647E32">
          <w:rPr>
            <w:rStyle w:val="Hyperlink"/>
            <w:rFonts w:ascii="Times New Roman" w:hAnsi="Times New Roman" w:cs="Times New Roman"/>
            <w:b/>
            <w:bCs/>
          </w:rPr>
          <w:t>law</w:t>
        </w:r>
      </w:hyperlink>
      <w:r>
        <w:rPr>
          <w:rFonts w:ascii="Times New Roman" w:hAnsi="Times New Roman" w:cs="Times New Roman"/>
        </w:rPr>
        <w:t xml:space="preserve"> </w:t>
      </w:r>
      <w:r w:rsidRPr="00647E32">
        <w:rPr>
          <w:rFonts w:ascii="Times New Roman" w:hAnsi="Times New Roman" w:cs="Times New Roman"/>
        </w:rPr>
        <w:t>prohibits units of government from engaging in collective bargaining with their employees.</w:t>
      </w:r>
      <w:r>
        <w:rPr>
          <w:rFonts w:ascii="Times New Roman" w:hAnsi="Times New Roman" w:cs="Times New Roman"/>
        </w:rPr>
        <w:t xml:space="preserve"> </w:t>
      </w:r>
      <w:r w:rsidRPr="00647E32">
        <w:rPr>
          <w:rFonts w:ascii="Times New Roman" w:hAnsi="Times New Roman" w:cs="Times New Roman"/>
        </w:rPr>
        <w:t xml:space="preserve"> The concept of “right to work” simply does not apply where there is no collective bargaining agreement in place.</w:t>
      </w:r>
    </w:p>
    <w:p w14:paraId="6274C0E2" w14:textId="77777777" w:rsidR="0037598A" w:rsidRDefault="0037598A" w:rsidP="0037598A">
      <w:pPr>
        <w:spacing w:after="0" w:line="240" w:lineRule="auto"/>
        <w:rPr>
          <w:rFonts w:ascii="Times New Roman" w:hAnsi="Times New Roman" w:cs="Times New Roman"/>
        </w:rPr>
      </w:pPr>
    </w:p>
    <w:p w14:paraId="341887C0" w14:textId="77777777" w:rsidR="0037598A" w:rsidRPr="00647E32" w:rsidRDefault="0037598A" w:rsidP="0037598A">
      <w:pPr>
        <w:spacing w:after="0" w:line="240" w:lineRule="auto"/>
        <w:ind w:firstLine="720"/>
        <w:rPr>
          <w:rFonts w:ascii="Times New Roman" w:hAnsi="Times New Roman" w:cs="Times New Roman"/>
        </w:rPr>
      </w:pPr>
      <w:r w:rsidRPr="00647E32">
        <w:rPr>
          <w:rFonts w:ascii="Times New Roman" w:hAnsi="Times New Roman" w:cs="Times New Roman"/>
        </w:rPr>
        <w:t>Federal law—the National Labor Relations Act (NLRA), enforced by the National Labor Relations Board (NLRB)—governs unionization in private employment and allows states to choose whether to be right-to-work states.</w:t>
      </w:r>
      <w:r>
        <w:rPr>
          <w:rFonts w:ascii="Times New Roman" w:hAnsi="Times New Roman" w:cs="Times New Roman"/>
        </w:rPr>
        <w:t xml:space="preserve"> </w:t>
      </w:r>
      <w:r w:rsidRPr="00647E32">
        <w:rPr>
          <w:rFonts w:ascii="Times New Roman" w:hAnsi="Times New Roman" w:cs="Times New Roman"/>
        </w:rPr>
        <w:t xml:space="preserve"> Private employers in North Carolina are bound by the federal law when it comes to the obligation to recognize unions and engage in collective bargaining, but they are bound by the state law that makes North Carolina a right-to-work state.</w:t>
      </w:r>
    </w:p>
    <w:p w14:paraId="2C1CAEF0" w14:textId="77777777" w:rsidR="0037598A" w:rsidRPr="00647E32" w:rsidRDefault="0037598A" w:rsidP="0037598A">
      <w:pPr>
        <w:spacing w:after="0" w:line="240" w:lineRule="auto"/>
        <w:rPr>
          <w:rFonts w:ascii="Times New Roman" w:hAnsi="Times New Roman" w:cs="Times New Roman"/>
        </w:rPr>
      </w:pPr>
      <w:r w:rsidRPr="00647E32">
        <w:rPr>
          <w:rFonts w:ascii="Times New Roman" w:hAnsi="Times New Roman" w:cs="Times New Roman"/>
        </w:rPr>
        <w:t>Federal law does not govern unionization in governmental employment.</w:t>
      </w:r>
      <w:r>
        <w:rPr>
          <w:rFonts w:ascii="Times New Roman" w:hAnsi="Times New Roman" w:cs="Times New Roman"/>
        </w:rPr>
        <w:t xml:space="preserve"> </w:t>
      </w:r>
      <w:r w:rsidRPr="00647E32">
        <w:rPr>
          <w:rFonts w:ascii="Times New Roman" w:hAnsi="Times New Roman" w:cs="Times New Roman"/>
        </w:rPr>
        <w:t xml:space="preserve"> The NLRA and the NLRB have no jurisdiction over governmental employment.</w:t>
      </w:r>
      <w:r>
        <w:rPr>
          <w:rFonts w:ascii="Times New Roman" w:hAnsi="Times New Roman" w:cs="Times New Roman"/>
        </w:rPr>
        <w:t xml:space="preserve"> </w:t>
      </w:r>
      <w:r w:rsidRPr="00647E32">
        <w:rPr>
          <w:rFonts w:ascii="Times New Roman" w:hAnsi="Times New Roman" w:cs="Times New Roman"/>
        </w:rPr>
        <w:t xml:space="preserve"> Instead, states are free to design their own laws for the state government as employer and for local governmental units as employers regarding the recognition of unions and the obligation to engage in collective bargaining.</w:t>
      </w:r>
      <w:r>
        <w:rPr>
          <w:rFonts w:ascii="Times New Roman" w:hAnsi="Times New Roman" w:cs="Times New Roman"/>
        </w:rPr>
        <w:t xml:space="preserve"> </w:t>
      </w:r>
      <w:r w:rsidRPr="00647E32">
        <w:rPr>
          <w:rFonts w:ascii="Times New Roman" w:hAnsi="Times New Roman" w:cs="Times New Roman"/>
        </w:rPr>
        <w:t xml:space="preserve"> North Carolina has chosen to ban collective bargaining in governmental employment altogether.</w:t>
      </w:r>
    </w:p>
    <w:p w14:paraId="636FED06" w14:textId="77777777" w:rsidR="0037598A" w:rsidRDefault="0037598A" w:rsidP="0037598A">
      <w:pPr>
        <w:spacing w:after="0" w:line="240" w:lineRule="auto"/>
        <w:rPr>
          <w:rFonts w:ascii="Times New Roman" w:hAnsi="Times New Roman" w:cs="Times New Roman"/>
        </w:rPr>
      </w:pPr>
    </w:p>
    <w:p w14:paraId="57E4F617" w14:textId="77777777" w:rsidR="0037598A" w:rsidRDefault="0037598A" w:rsidP="0037598A">
      <w:pPr>
        <w:spacing w:after="0" w:line="240" w:lineRule="auto"/>
        <w:ind w:firstLine="720"/>
        <w:rPr>
          <w:rFonts w:ascii="Times New Roman" w:hAnsi="Times New Roman" w:cs="Times New Roman"/>
        </w:rPr>
      </w:pPr>
      <w:r w:rsidRPr="00647E32">
        <w:rPr>
          <w:rFonts w:ascii="Times New Roman" w:hAnsi="Times New Roman" w:cs="Times New Roman"/>
        </w:rPr>
        <w:lastRenderedPageBreak/>
        <w:t>Now let’s look at the other term:</w:t>
      </w:r>
      <w:r>
        <w:rPr>
          <w:rFonts w:ascii="Times New Roman" w:hAnsi="Times New Roman" w:cs="Times New Roman"/>
        </w:rPr>
        <w:t xml:space="preserve"> </w:t>
      </w:r>
      <w:r w:rsidRPr="00647E32">
        <w:rPr>
          <w:rFonts w:ascii="Times New Roman" w:hAnsi="Times New Roman" w:cs="Times New Roman"/>
        </w:rPr>
        <w:t xml:space="preserve"> employment at will.</w:t>
      </w:r>
      <w:r>
        <w:rPr>
          <w:rFonts w:ascii="Times New Roman" w:hAnsi="Times New Roman" w:cs="Times New Roman"/>
        </w:rPr>
        <w:t xml:space="preserve"> </w:t>
      </w:r>
      <w:r w:rsidRPr="00647E32">
        <w:rPr>
          <w:rFonts w:ascii="Times New Roman" w:hAnsi="Times New Roman" w:cs="Times New Roman"/>
        </w:rPr>
        <w:t xml:space="preserve"> It means a lot for North Carolina governmental employers.</w:t>
      </w:r>
    </w:p>
    <w:p w14:paraId="05C1B450" w14:textId="77777777" w:rsidR="0037598A" w:rsidRPr="00647E32" w:rsidRDefault="0037598A" w:rsidP="0037598A">
      <w:pPr>
        <w:spacing w:after="0" w:line="240" w:lineRule="auto"/>
        <w:ind w:firstLine="720"/>
        <w:rPr>
          <w:rFonts w:ascii="Times New Roman" w:hAnsi="Times New Roman" w:cs="Times New Roman"/>
        </w:rPr>
      </w:pPr>
    </w:p>
    <w:p w14:paraId="732F2060" w14:textId="77777777" w:rsidR="0037598A" w:rsidRPr="00647E32" w:rsidRDefault="0037598A" w:rsidP="0037598A">
      <w:pPr>
        <w:spacing w:after="0" w:line="240" w:lineRule="auto"/>
        <w:ind w:firstLine="720"/>
        <w:rPr>
          <w:rFonts w:ascii="Times New Roman" w:hAnsi="Times New Roman" w:cs="Times New Roman"/>
        </w:rPr>
      </w:pPr>
      <w:r w:rsidRPr="00647E32">
        <w:rPr>
          <w:rFonts w:ascii="Times New Roman" w:hAnsi="Times New Roman" w:cs="Times New Roman"/>
        </w:rPr>
        <w:t>Employment at will is the basic rule of the relationship between employer and employee in North Carolina.</w:t>
      </w:r>
      <w:r>
        <w:rPr>
          <w:rFonts w:ascii="Times New Roman" w:hAnsi="Times New Roman" w:cs="Times New Roman"/>
        </w:rPr>
        <w:t xml:space="preserve"> </w:t>
      </w:r>
      <w:r w:rsidRPr="00647E32">
        <w:rPr>
          <w:rFonts w:ascii="Times New Roman" w:hAnsi="Times New Roman" w:cs="Times New Roman"/>
        </w:rPr>
        <w:t xml:space="preserve"> Under it, any employer, private or governmental, is free to decide among all job applicants which one to hire and to reject all others, for any reason that suits the employer.</w:t>
      </w:r>
      <w:r>
        <w:rPr>
          <w:rFonts w:ascii="Times New Roman" w:hAnsi="Times New Roman" w:cs="Times New Roman"/>
        </w:rPr>
        <w:t xml:space="preserve">  </w:t>
      </w:r>
      <w:r w:rsidRPr="00647E32">
        <w:rPr>
          <w:rFonts w:ascii="Times New Roman" w:hAnsi="Times New Roman" w:cs="Times New Roman"/>
        </w:rPr>
        <w:t>Similarly, the employer is free to decide at any time to dismiss any employee already working for the employer, for any reason or for no reason at all (except for a handful of reasons made unlawful under federal law, such as race, sex, or age discrimination).</w:t>
      </w:r>
      <w:r>
        <w:rPr>
          <w:rFonts w:ascii="Times New Roman" w:hAnsi="Times New Roman" w:cs="Times New Roman"/>
        </w:rPr>
        <w:t xml:space="preserve"> </w:t>
      </w:r>
      <w:r w:rsidRPr="00647E32">
        <w:rPr>
          <w:rFonts w:ascii="Times New Roman" w:hAnsi="Times New Roman" w:cs="Times New Roman"/>
        </w:rPr>
        <w:t xml:space="preserve"> The employer is free to demote, suspend, or transfer the employee and to raise or lower his or her pay.</w:t>
      </w:r>
      <w:r>
        <w:rPr>
          <w:rFonts w:ascii="Times New Roman" w:hAnsi="Times New Roman" w:cs="Times New Roman"/>
        </w:rPr>
        <w:t xml:space="preserve"> </w:t>
      </w:r>
      <w:r w:rsidRPr="00647E32">
        <w:rPr>
          <w:rFonts w:ascii="Times New Roman" w:hAnsi="Times New Roman" w:cs="Times New Roman"/>
        </w:rPr>
        <w:t xml:space="preserve"> On the other side of the coin, an applicant is perfectly free to decline an offer of employment, and an employee is free simply to walk off the job</w:t>
      </w:r>
      <w:r>
        <w:rPr>
          <w:rFonts w:ascii="Times New Roman" w:hAnsi="Times New Roman" w:cs="Times New Roman"/>
        </w:rPr>
        <w:t xml:space="preserve"> </w:t>
      </w:r>
      <w:r w:rsidRPr="00647E32">
        <w:rPr>
          <w:rFonts w:ascii="Times New Roman" w:hAnsi="Times New Roman" w:cs="Times New Roman"/>
        </w:rPr>
        <w:t xml:space="preserve"> In essence, the employment relationship lasts only so long as both the employer and the employee desire it.</w:t>
      </w:r>
      <w:r>
        <w:rPr>
          <w:rFonts w:ascii="Times New Roman" w:hAnsi="Times New Roman" w:cs="Times New Roman"/>
        </w:rPr>
        <w:t xml:space="preserve"> </w:t>
      </w:r>
      <w:r w:rsidRPr="00647E32">
        <w:rPr>
          <w:rFonts w:ascii="Times New Roman" w:hAnsi="Times New Roman" w:cs="Times New Roman"/>
        </w:rPr>
        <w:t xml:space="preserve"> If either loses the will, the relationship is terminated.</w:t>
      </w:r>
    </w:p>
    <w:p w14:paraId="71F9EF5E" w14:textId="77777777" w:rsidR="0037598A" w:rsidRDefault="0037598A" w:rsidP="0037598A">
      <w:pPr>
        <w:spacing w:after="0" w:line="240" w:lineRule="auto"/>
        <w:rPr>
          <w:rFonts w:ascii="Times New Roman" w:hAnsi="Times New Roman" w:cs="Times New Roman"/>
        </w:rPr>
      </w:pPr>
    </w:p>
    <w:p w14:paraId="1C60E9F4" w14:textId="77777777" w:rsidR="0037598A" w:rsidRPr="00647E32" w:rsidRDefault="0037598A" w:rsidP="0037598A">
      <w:pPr>
        <w:spacing w:after="0" w:line="240" w:lineRule="auto"/>
        <w:ind w:firstLine="720"/>
        <w:rPr>
          <w:rFonts w:ascii="Times New Roman" w:hAnsi="Times New Roman" w:cs="Times New Roman"/>
        </w:rPr>
      </w:pPr>
      <w:r w:rsidRPr="00647E32">
        <w:rPr>
          <w:rFonts w:ascii="Times New Roman" w:hAnsi="Times New Roman" w:cs="Times New Roman"/>
        </w:rPr>
        <w:t>The North Carolina Supreme Court summarized the legal principle of employment at will in 1971:</w:t>
      </w:r>
      <w:r>
        <w:rPr>
          <w:rFonts w:ascii="Times New Roman" w:hAnsi="Times New Roman" w:cs="Times New Roman"/>
        </w:rPr>
        <w:t xml:space="preserve"> </w:t>
      </w:r>
      <w:r w:rsidRPr="00647E32">
        <w:rPr>
          <w:rFonts w:ascii="Times New Roman" w:hAnsi="Times New Roman" w:cs="Times New Roman"/>
        </w:rPr>
        <w:t xml:space="preserve"> “Nothing else appearing,” the court said, employment “is terminable at the will of either party irrespective of the quality of performance by the other party.”</w:t>
      </w:r>
      <w:r>
        <w:rPr>
          <w:rFonts w:ascii="Times New Roman" w:hAnsi="Times New Roman" w:cs="Times New Roman"/>
        </w:rPr>
        <w:t xml:space="preserve">  </w:t>
      </w:r>
      <w:r w:rsidRPr="00647E32">
        <w:rPr>
          <w:rFonts w:ascii="Times New Roman" w:hAnsi="Times New Roman" w:cs="Times New Roman"/>
          <w:i/>
          <w:iCs/>
        </w:rPr>
        <w:t>Still v. Lance</w:t>
      </w:r>
      <w:r w:rsidRPr="00647E32">
        <w:rPr>
          <w:rFonts w:ascii="Times New Roman" w:hAnsi="Times New Roman" w:cs="Times New Roman"/>
        </w:rPr>
        <w:t>, 279 N.C. 254, 259</w:t>
      </w:r>
      <w:r>
        <w:rPr>
          <w:rFonts w:ascii="Times New Roman" w:hAnsi="Times New Roman" w:cs="Times New Roman"/>
        </w:rPr>
        <w:t xml:space="preserve"> </w:t>
      </w:r>
      <w:r w:rsidRPr="00647E32">
        <w:rPr>
          <w:rFonts w:ascii="Times New Roman" w:hAnsi="Times New Roman" w:cs="Times New Roman"/>
        </w:rPr>
        <w:t xml:space="preserve"> That is, no matter how well the employee is working, he or she is subject to being fired, “nothing else appearing.”</w:t>
      </w:r>
      <w:r>
        <w:rPr>
          <w:rFonts w:ascii="Times New Roman" w:hAnsi="Times New Roman" w:cs="Times New Roman"/>
        </w:rPr>
        <w:t xml:space="preserve"> </w:t>
      </w:r>
      <w:r w:rsidRPr="00647E32">
        <w:rPr>
          <w:rFonts w:ascii="Times New Roman" w:hAnsi="Times New Roman" w:cs="Times New Roman"/>
        </w:rPr>
        <w:t xml:space="preserve"> Unless something “else” protects the employee, his or her status is “at will.”</w:t>
      </w:r>
    </w:p>
    <w:p w14:paraId="4CFBF268" w14:textId="77777777" w:rsidR="0037598A" w:rsidRDefault="0037598A" w:rsidP="0037598A">
      <w:pPr>
        <w:spacing w:after="0" w:line="240" w:lineRule="auto"/>
        <w:rPr>
          <w:rFonts w:ascii="Times New Roman" w:hAnsi="Times New Roman" w:cs="Times New Roman"/>
        </w:rPr>
      </w:pPr>
    </w:p>
    <w:p w14:paraId="788F6588" w14:textId="77777777" w:rsidR="0037598A" w:rsidRPr="00647E32" w:rsidRDefault="0037598A" w:rsidP="0037598A">
      <w:pPr>
        <w:spacing w:after="0" w:line="240" w:lineRule="auto"/>
        <w:ind w:firstLine="720"/>
        <w:rPr>
          <w:rFonts w:ascii="Times New Roman" w:hAnsi="Times New Roman" w:cs="Times New Roman"/>
        </w:rPr>
      </w:pPr>
      <w:r w:rsidRPr="00647E32">
        <w:rPr>
          <w:rFonts w:ascii="Times New Roman" w:hAnsi="Times New Roman" w:cs="Times New Roman"/>
        </w:rPr>
        <w:t>Sometimes in governmental employment, there is something “else” that appears, that takes particular employees out of the status of at will.</w:t>
      </w:r>
    </w:p>
    <w:p w14:paraId="303705DF" w14:textId="77777777" w:rsidR="0037598A" w:rsidRDefault="0037598A" w:rsidP="0037598A">
      <w:pPr>
        <w:spacing w:after="0" w:line="240" w:lineRule="auto"/>
        <w:rPr>
          <w:rFonts w:ascii="Times New Roman" w:hAnsi="Times New Roman" w:cs="Times New Roman"/>
        </w:rPr>
      </w:pPr>
    </w:p>
    <w:p w14:paraId="49E91267" w14:textId="77777777" w:rsidR="0037598A" w:rsidRPr="00647E32" w:rsidRDefault="0037598A" w:rsidP="0037598A">
      <w:pPr>
        <w:spacing w:after="0" w:line="240" w:lineRule="auto"/>
        <w:ind w:firstLine="720"/>
        <w:rPr>
          <w:rFonts w:ascii="Times New Roman" w:hAnsi="Times New Roman" w:cs="Times New Roman"/>
        </w:rPr>
      </w:pPr>
      <w:r w:rsidRPr="00647E32">
        <w:rPr>
          <w:rFonts w:ascii="Times New Roman" w:hAnsi="Times New Roman" w:cs="Times New Roman"/>
        </w:rPr>
        <w:t xml:space="preserve">One example is the </w:t>
      </w:r>
      <w:r>
        <w:rPr>
          <w:rFonts w:ascii="Times New Roman" w:hAnsi="Times New Roman" w:cs="Times New Roman"/>
        </w:rPr>
        <w:t>State Human Resources</w:t>
      </w:r>
      <w:r w:rsidRPr="00647E32">
        <w:rPr>
          <w:rFonts w:ascii="Times New Roman" w:hAnsi="Times New Roman" w:cs="Times New Roman"/>
        </w:rPr>
        <w:t xml:space="preserve"> Act.</w:t>
      </w:r>
      <w:r>
        <w:rPr>
          <w:rFonts w:ascii="Times New Roman" w:hAnsi="Times New Roman" w:cs="Times New Roman"/>
        </w:rPr>
        <w:t xml:space="preserve"> </w:t>
      </w:r>
      <w:r w:rsidRPr="00647E32">
        <w:rPr>
          <w:rFonts w:ascii="Times New Roman" w:hAnsi="Times New Roman" w:cs="Times New Roman"/>
        </w:rPr>
        <w:t xml:space="preserve"> After employees who are covered by the act (that is, most state employees and </w:t>
      </w:r>
      <w:r>
        <w:rPr>
          <w:rFonts w:ascii="Times New Roman" w:hAnsi="Times New Roman" w:cs="Times New Roman"/>
        </w:rPr>
        <w:t>many</w:t>
      </w:r>
      <w:r w:rsidRPr="00647E32">
        <w:rPr>
          <w:rFonts w:ascii="Times New Roman" w:hAnsi="Times New Roman" w:cs="Times New Roman"/>
        </w:rPr>
        <w:t xml:space="preserve"> employees in county social services and public health departments) have finished a probationary period, from that point forward they can be dismissed only for “just cause,” as the act provides.</w:t>
      </w:r>
      <w:r>
        <w:rPr>
          <w:rFonts w:ascii="Times New Roman" w:hAnsi="Times New Roman" w:cs="Times New Roman"/>
        </w:rPr>
        <w:t xml:space="preserve"> </w:t>
      </w:r>
      <w:r w:rsidRPr="00647E32">
        <w:rPr>
          <w:rFonts w:ascii="Times New Roman" w:hAnsi="Times New Roman" w:cs="Times New Roman"/>
        </w:rPr>
        <w:t xml:space="preserve"> Because they can be fired only for cause, they are no longer at will.</w:t>
      </w:r>
    </w:p>
    <w:p w14:paraId="0D73E3D2" w14:textId="77777777" w:rsidR="0037598A" w:rsidRDefault="0037598A" w:rsidP="0037598A">
      <w:pPr>
        <w:spacing w:after="0" w:line="240" w:lineRule="auto"/>
        <w:rPr>
          <w:rFonts w:ascii="Times New Roman" w:hAnsi="Times New Roman" w:cs="Times New Roman"/>
        </w:rPr>
      </w:pPr>
    </w:p>
    <w:p w14:paraId="31F7A012" w14:textId="77777777" w:rsidR="0037598A" w:rsidRPr="00647E32" w:rsidRDefault="0037598A" w:rsidP="0037598A">
      <w:pPr>
        <w:spacing w:after="0" w:line="240" w:lineRule="auto"/>
        <w:ind w:firstLine="720"/>
        <w:rPr>
          <w:rFonts w:ascii="Times New Roman" w:hAnsi="Times New Roman" w:cs="Times New Roman"/>
        </w:rPr>
      </w:pPr>
      <w:r w:rsidRPr="00647E32">
        <w:rPr>
          <w:rFonts w:ascii="Times New Roman" w:hAnsi="Times New Roman" w:cs="Times New Roman"/>
        </w:rPr>
        <w:t>Other examples can be found in numerous personnel ordinances enacted by county boards of commissioners or city councils.</w:t>
      </w:r>
      <w:r>
        <w:rPr>
          <w:rFonts w:ascii="Times New Roman" w:hAnsi="Times New Roman" w:cs="Times New Roman"/>
        </w:rPr>
        <w:t xml:space="preserve"> </w:t>
      </w:r>
      <w:r w:rsidRPr="00647E32">
        <w:rPr>
          <w:rFonts w:ascii="Times New Roman" w:hAnsi="Times New Roman" w:cs="Times New Roman"/>
        </w:rPr>
        <w:t xml:space="preserve"> County boards and city councils have the authority under North Carolina law to enact ordinances that give their employee protection in the same way that the State Personnel Act does for state employees.</w:t>
      </w:r>
      <w:r>
        <w:rPr>
          <w:rFonts w:ascii="Times New Roman" w:hAnsi="Times New Roman" w:cs="Times New Roman"/>
        </w:rPr>
        <w:t xml:space="preserve"> </w:t>
      </w:r>
      <w:r w:rsidRPr="00647E32">
        <w:rPr>
          <w:rFonts w:ascii="Times New Roman" w:hAnsi="Times New Roman" w:cs="Times New Roman"/>
        </w:rPr>
        <w:t xml:space="preserve"> These county and city ordinances provide that once a covered employee has completed a probationary period he or she may be dismissed only for “good cause” or “just cause” or some comparable term.</w:t>
      </w:r>
      <w:r>
        <w:rPr>
          <w:rFonts w:ascii="Times New Roman" w:hAnsi="Times New Roman" w:cs="Times New Roman"/>
        </w:rPr>
        <w:t xml:space="preserve"> </w:t>
      </w:r>
      <w:r w:rsidRPr="00647E32">
        <w:rPr>
          <w:rFonts w:ascii="Times New Roman" w:hAnsi="Times New Roman" w:cs="Times New Roman"/>
        </w:rPr>
        <w:t xml:space="preserve"> Those employees then are no longer employed at will.</w:t>
      </w:r>
    </w:p>
    <w:p w14:paraId="03C48F89" w14:textId="77777777" w:rsidR="0037598A" w:rsidRDefault="0037598A" w:rsidP="0037598A">
      <w:pPr>
        <w:spacing w:after="0" w:line="240" w:lineRule="auto"/>
        <w:rPr>
          <w:rFonts w:ascii="Times New Roman" w:hAnsi="Times New Roman" w:cs="Times New Roman"/>
        </w:rPr>
      </w:pPr>
    </w:p>
    <w:p w14:paraId="26C328B4" w14:textId="77777777" w:rsidR="0037598A" w:rsidRPr="00647E32" w:rsidRDefault="0037598A" w:rsidP="0037598A">
      <w:pPr>
        <w:spacing w:after="0" w:line="240" w:lineRule="auto"/>
        <w:ind w:firstLine="720"/>
        <w:rPr>
          <w:rFonts w:ascii="Times New Roman" w:hAnsi="Times New Roman" w:cs="Times New Roman"/>
        </w:rPr>
      </w:pPr>
      <w:r w:rsidRPr="00647E32">
        <w:rPr>
          <w:rFonts w:ascii="Times New Roman" w:hAnsi="Times New Roman" w:cs="Times New Roman"/>
        </w:rPr>
        <w:t>Public school teachers</w:t>
      </w:r>
      <w:r>
        <w:rPr>
          <w:rFonts w:ascii="Times New Roman" w:hAnsi="Times New Roman" w:cs="Times New Roman"/>
        </w:rPr>
        <w:t xml:space="preserve"> </w:t>
      </w:r>
      <w:r w:rsidRPr="00647E32">
        <w:rPr>
          <w:rFonts w:ascii="Times New Roman" w:hAnsi="Times New Roman" w:cs="Times New Roman"/>
        </w:rPr>
        <w:t>who achieved tenure as teachers under the state’s teacher tenure law before a certain date in 2013 can be dismissed only for one of 15 reasons set out in the statute.</w:t>
      </w:r>
      <w:r>
        <w:rPr>
          <w:rFonts w:ascii="Times New Roman" w:hAnsi="Times New Roman" w:cs="Times New Roman"/>
        </w:rPr>
        <w:t xml:space="preserve"> </w:t>
      </w:r>
      <w:r w:rsidRPr="00647E32">
        <w:rPr>
          <w:rFonts w:ascii="Times New Roman" w:hAnsi="Times New Roman" w:cs="Times New Roman"/>
        </w:rPr>
        <w:t xml:space="preserve"> They are not employed at will.</w:t>
      </w:r>
    </w:p>
    <w:p w14:paraId="27FD4221" w14:textId="77777777" w:rsidR="0037598A" w:rsidRDefault="0037598A" w:rsidP="0037598A">
      <w:pPr>
        <w:spacing w:after="0" w:line="240" w:lineRule="auto"/>
        <w:rPr>
          <w:rFonts w:ascii="Times New Roman" w:hAnsi="Times New Roman" w:cs="Times New Roman"/>
        </w:rPr>
      </w:pPr>
    </w:p>
    <w:p w14:paraId="39DEC36E" w14:textId="77777777" w:rsidR="0037598A" w:rsidRPr="00647E32" w:rsidRDefault="0037598A" w:rsidP="0037598A">
      <w:pPr>
        <w:spacing w:after="0" w:line="240" w:lineRule="auto"/>
        <w:ind w:firstLine="720"/>
        <w:rPr>
          <w:rFonts w:ascii="Times New Roman" w:hAnsi="Times New Roman" w:cs="Times New Roman"/>
        </w:rPr>
      </w:pPr>
      <w:r w:rsidRPr="00647E32">
        <w:rPr>
          <w:rFonts w:ascii="Times New Roman" w:hAnsi="Times New Roman" w:cs="Times New Roman"/>
        </w:rPr>
        <w:t>Most local government employees in North Carolina are employed as at-will employees.</w:t>
      </w:r>
      <w:r>
        <w:rPr>
          <w:rFonts w:ascii="Times New Roman" w:hAnsi="Times New Roman" w:cs="Times New Roman"/>
        </w:rPr>
        <w:t xml:space="preserve"> </w:t>
      </w:r>
      <w:r w:rsidRPr="00647E32">
        <w:rPr>
          <w:rFonts w:ascii="Times New Roman" w:hAnsi="Times New Roman" w:cs="Times New Roman"/>
        </w:rPr>
        <w:t xml:space="preserve"> They do not have any special protection.</w:t>
      </w:r>
      <w:r>
        <w:rPr>
          <w:rFonts w:ascii="Times New Roman" w:hAnsi="Times New Roman" w:cs="Times New Roman"/>
        </w:rPr>
        <w:t xml:space="preserve"> </w:t>
      </w:r>
      <w:r w:rsidRPr="00647E32">
        <w:rPr>
          <w:rFonts w:ascii="Times New Roman" w:hAnsi="Times New Roman" w:cs="Times New Roman"/>
        </w:rPr>
        <w:t xml:space="preserve"> Their county commissioners or city councils have not enacted “just cause” protection and they are not covered by the State </w:t>
      </w:r>
      <w:r>
        <w:rPr>
          <w:rFonts w:ascii="Times New Roman" w:hAnsi="Times New Roman" w:cs="Times New Roman"/>
        </w:rPr>
        <w:t>Human Resources</w:t>
      </w:r>
      <w:r w:rsidRPr="00647E32">
        <w:rPr>
          <w:rFonts w:ascii="Times New Roman" w:hAnsi="Times New Roman" w:cs="Times New Roman"/>
        </w:rPr>
        <w:t xml:space="preserve"> Act.</w:t>
      </w:r>
    </w:p>
    <w:p w14:paraId="31FC2BD4" w14:textId="77777777" w:rsidR="0037598A" w:rsidRDefault="0037598A" w:rsidP="0037598A">
      <w:pPr>
        <w:spacing w:after="0" w:line="240" w:lineRule="auto"/>
        <w:rPr>
          <w:rFonts w:ascii="Times New Roman" w:hAnsi="Times New Roman" w:cs="Times New Roman"/>
        </w:rPr>
      </w:pPr>
    </w:p>
    <w:p w14:paraId="322A27D4" w14:textId="77777777" w:rsidR="0037598A" w:rsidRPr="00647E32" w:rsidRDefault="0037598A" w:rsidP="0037598A">
      <w:pPr>
        <w:spacing w:after="0" w:line="240" w:lineRule="auto"/>
        <w:ind w:firstLine="720"/>
        <w:rPr>
          <w:rFonts w:ascii="Times New Roman" w:hAnsi="Times New Roman" w:cs="Times New Roman"/>
        </w:rPr>
      </w:pPr>
      <w:r w:rsidRPr="00647E32">
        <w:rPr>
          <w:rFonts w:ascii="Times New Roman" w:hAnsi="Times New Roman" w:cs="Times New Roman"/>
        </w:rPr>
        <w:t>“Employment at will” is a very meaningful term for North Carolina public employers.</w:t>
      </w:r>
      <w:r>
        <w:rPr>
          <w:rFonts w:ascii="Times New Roman" w:hAnsi="Times New Roman" w:cs="Times New Roman"/>
        </w:rPr>
        <w:t xml:space="preserve"> </w:t>
      </w:r>
      <w:r w:rsidRPr="00647E32">
        <w:rPr>
          <w:rFonts w:ascii="Times New Roman" w:hAnsi="Times New Roman" w:cs="Times New Roman"/>
        </w:rPr>
        <w:t xml:space="preserve"> “Right to work” is not.</w:t>
      </w:r>
    </w:p>
    <w:p w14:paraId="1646B241" w14:textId="77777777" w:rsidR="0037598A" w:rsidRDefault="0037598A" w:rsidP="0037598A"/>
    <w:p w14:paraId="0B0CCCA0" w14:textId="313130F8" w:rsidR="0037598A" w:rsidRDefault="0037598A">
      <w:pPr>
        <w:rPr>
          <w:rFonts w:ascii="Times New Roman" w:hAnsi="Times New Roman" w:cs="Times New Roman"/>
        </w:rPr>
      </w:pPr>
      <w:r>
        <w:rPr>
          <w:rFonts w:ascii="Times New Roman" w:hAnsi="Times New Roman" w:cs="Times New Roman"/>
        </w:rPr>
        <w:br w:type="page"/>
      </w:r>
    </w:p>
    <w:p w14:paraId="6F20B47A" w14:textId="77F2DD3E" w:rsidR="0037598A" w:rsidRPr="00FF57FD" w:rsidRDefault="0037598A" w:rsidP="0037598A">
      <w:pPr>
        <w:spacing w:after="0" w:line="240" w:lineRule="auto"/>
        <w:jc w:val="center"/>
        <w:rPr>
          <w:rFonts w:ascii="Times New Roman" w:hAnsi="Times New Roman" w:cs="Times New Roman"/>
          <w:b/>
          <w:bCs/>
          <w:sz w:val="44"/>
          <w:szCs w:val="44"/>
        </w:rPr>
      </w:pPr>
      <w:r w:rsidRPr="00FF57FD">
        <w:rPr>
          <w:rFonts w:ascii="Times New Roman" w:hAnsi="Times New Roman" w:cs="Times New Roman"/>
          <w:b/>
          <w:bCs/>
          <w:sz w:val="44"/>
          <w:szCs w:val="44"/>
        </w:rPr>
        <w:lastRenderedPageBreak/>
        <w:t>Firing At-Will Employees:</w:t>
      </w:r>
      <w:r w:rsidR="009675B9" w:rsidRPr="00FF57FD">
        <w:rPr>
          <w:rFonts w:ascii="Times New Roman" w:hAnsi="Times New Roman" w:cs="Times New Roman"/>
          <w:b/>
          <w:bCs/>
          <w:sz w:val="44"/>
          <w:szCs w:val="44"/>
        </w:rPr>
        <w:t xml:space="preserve">  </w:t>
      </w:r>
      <w:r w:rsidRPr="00FF57FD">
        <w:rPr>
          <w:rFonts w:ascii="Times New Roman" w:hAnsi="Times New Roman" w:cs="Times New Roman"/>
          <w:b/>
          <w:bCs/>
          <w:sz w:val="44"/>
          <w:szCs w:val="44"/>
        </w:rPr>
        <w:t>Legal Limitations</w:t>
      </w:r>
    </w:p>
    <w:p w14:paraId="54B88F26" w14:textId="77777777" w:rsidR="0037598A" w:rsidRPr="00FF57FD" w:rsidRDefault="0037598A" w:rsidP="0037598A">
      <w:pPr>
        <w:spacing w:after="0" w:line="240" w:lineRule="auto"/>
        <w:rPr>
          <w:rFonts w:ascii="Times New Roman" w:hAnsi="Times New Roman" w:cs="Times New Roman"/>
          <w:b/>
          <w:bCs/>
        </w:rPr>
      </w:pPr>
    </w:p>
    <w:p w14:paraId="4758951F" w14:textId="77777777" w:rsidR="0037598A" w:rsidRDefault="0037598A" w:rsidP="0037598A">
      <w:pPr>
        <w:spacing w:after="0" w:line="240" w:lineRule="auto"/>
        <w:rPr>
          <w:rFonts w:ascii="Times New Roman" w:hAnsi="Times New Roman" w:cs="Times New Roman"/>
        </w:rPr>
      </w:pPr>
    </w:p>
    <w:p w14:paraId="2C5DAAD1"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rPr>
        <w:t>If you go to work for someone else, the odds are great that you are an employee at will.</w:t>
      </w:r>
      <w:r>
        <w:rPr>
          <w:rFonts w:ascii="Times New Roman" w:hAnsi="Times New Roman" w:cs="Times New Roman"/>
        </w:rPr>
        <w:t xml:space="preserve"> </w:t>
      </w:r>
      <w:r w:rsidRPr="003D36DA">
        <w:rPr>
          <w:rFonts w:ascii="Times New Roman" w:hAnsi="Times New Roman" w:cs="Times New Roman"/>
        </w:rPr>
        <w:t xml:space="preserve"> That’s the basic rule in North Carolina, as it is almost everywhere in the United States.  In North Carolina, it applies whether you go to work for an individual or a private business or a unit of government.</w:t>
      </w:r>
    </w:p>
    <w:p w14:paraId="206EE4A0"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rPr>
        <w:t>So what?</w:t>
      </w:r>
      <w:r>
        <w:rPr>
          <w:rFonts w:ascii="Times New Roman" w:hAnsi="Times New Roman" w:cs="Times New Roman"/>
        </w:rPr>
        <w:t xml:space="preserve"> </w:t>
      </w:r>
      <w:r w:rsidRPr="003D36DA">
        <w:rPr>
          <w:rFonts w:ascii="Times New Roman" w:hAnsi="Times New Roman" w:cs="Times New Roman"/>
        </w:rPr>
        <w:t xml:space="preserve"> What does it mean to be an employee at will?</w:t>
      </w:r>
      <w:r>
        <w:rPr>
          <w:rFonts w:ascii="Times New Roman" w:hAnsi="Times New Roman" w:cs="Times New Roman"/>
        </w:rPr>
        <w:t xml:space="preserve"> </w:t>
      </w:r>
      <w:r w:rsidRPr="003D36DA">
        <w:rPr>
          <w:rFonts w:ascii="Times New Roman" w:hAnsi="Times New Roman" w:cs="Times New Roman"/>
        </w:rPr>
        <w:t xml:space="preserve"> It means that you can be fired at any time, for any reason or no reason, with notice or without notice.</w:t>
      </w:r>
      <w:r>
        <w:rPr>
          <w:rFonts w:ascii="Times New Roman" w:hAnsi="Times New Roman" w:cs="Times New Roman"/>
        </w:rPr>
        <w:t xml:space="preserve"> </w:t>
      </w:r>
      <w:r w:rsidRPr="003D36DA">
        <w:rPr>
          <w:rFonts w:ascii="Times New Roman" w:hAnsi="Times New Roman" w:cs="Times New Roman"/>
        </w:rPr>
        <w:t xml:space="preserve"> It means, as a legal matter, that your job hangs by the barest thread, subject to being snipped at any moment, with no recourse.</w:t>
      </w:r>
      <w:r>
        <w:rPr>
          <w:rFonts w:ascii="Times New Roman" w:hAnsi="Times New Roman" w:cs="Times New Roman"/>
        </w:rPr>
        <w:t xml:space="preserve"> </w:t>
      </w:r>
      <w:r w:rsidRPr="003D36DA">
        <w:rPr>
          <w:rFonts w:ascii="Times New Roman" w:hAnsi="Times New Roman" w:cs="Times New Roman"/>
        </w:rPr>
        <w:t xml:space="preserve"> It means, as a practical matter, that the employer holds all the cards in the employment arrangement.</w:t>
      </w:r>
    </w:p>
    <w:p w14:paraId="594599A7"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rPr>
        <w:t>But there is one more element to the law of employment at will:</w:t>
      </w:r>
      <w:r>
        <w:rPr>
          <w:rFonts w:ascii="Times New Roman" w:hAnsi="Times New Roman" w:cs="Times New Roman"/>
        </w:rPr>
        <w:t xml:space="preserve"> </w:t>
      </w:r>
      <w:r w:rsidRPr="003D36DA">
        <w:rPr>
          <w:rFonts w:ascii="Times New Roman" w:hAnsi="Times New Roman" w:cs="Times New Roman"/>
        </w:rPr>
        <w:t xml:space="preserve"> yes, it’s true that an at-will employee may be fired for any reason or no reason.</w:t>
      </w:r>
      <w:r>
        <w:rPr>
          <w:rFonts w:ascii="Times New Roman" w:hAnsi="Times New Roman" w:cs="Times New Roman"/>
        </w:rPr>
        <w:t xml:space="preserve"> </w:t>
      </w:r>
      <w:r w:rsidRPr="003D36DA">
        <w:rPr>
          <w:rFonts w:ascii="Times New Roman" w:hAnsi="Times New Roman" w:cs="Times New Roman"/>
        </w:rPr>
        <w:t xml:space="preserve"> But even an employee at will may not be fired for an</w:t>
      </w:r>
      <w:r>
        <w:rPr>
          <w:rFonts w:ascii="Times New Roman" w:hAnsi="Times New Roman" w:cs="Times New Roman"/>
        </w:rPr>
        <w:t xml:space="preserve"> </w:t>
      </w:r>
      <w:r w:rsidRPr="003D36DA">
        <w:rPr>
          <w:rFonts w:ascii="Times New Roman" w:hAnsi="Times New Roman" w:cs="Times New Roman"/>
          <w:i/>
          <w:iCs/>
        </w:rPr>
        <w:t>unlawful</w:t>
      </w:r>
      <w:r>
        <w:rPr>
          <w:rFonts w:ascii="Times New Roman" w:hAnsi="Times New Roman" w:cs="Times New Roman"/>
        </w:rPr>
        <w:t xml:space="preserve"> </w:t>
      </w:r>
      <w:r w:rsidRPr="003D36DA">
        <w:rPr>
          <w:rFonts w:ascii="Times New Roman" w:hAnsi="Times New Roman" w:cs="Times New Roman"/>
        </w:rPr>
        <w:t>reason.  The law puts in place some protections against dismissal even for at-will employees.</w:t>
      </w:r>
    </w:p>
    <w:p w14:paraId="5E24791A"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rPr>
        <w:t xml:space="preserve">This </w:t>
      </w:r>
      <w:r>
        <w:rPr>
          <w:rFonts w:ascii="Times New Roman" w:hAnsi="Times New Roman" w:cs="Times New Roman"/>
        </w:rPr>
        <w:t>article</w:t>
      </w:r>
      <w:r w:rsidRPr="003D36DA">
        <w:rPr>
          <w:rFonts w:ascii="Times New Roman" w:hAnsi="Times New Roman" w:cs="Times New Roman"/>
        </w:rPr>
        <w:t xml:space="preserve"> lists the unlawful reasons.</w:t>
      </w:r>
      <w:r>
        <w:rPr>
          <w:rFonts w:ascii="Times New Roman" w:hAnsi="Times New Roman" w:cs="Times New Roman"/>
        </w:rPr>
        <w:t xml:space="preserve"> </w:t>
      </w:r>
      <w:r w:rsidRPr="003D36DA">
        <w:rPr>
          <w:rFonts w:ascii="Times New Roman" w:hAnsi="Times New Roman" w:cs="Times New Roman"/>
        </w:rPr>
        <w:t xml:space="preserve"> If an employer, private or governmental, fires an employee for any reason not listed here, the law of employment at will prevails, and the employee is out of luck.  But if one of these reasons is behind the dismissal, the employer has acted unlawfully and the employee may have legal protection.</w:t>
      </w:r>
    </w:p>
    <w:p w14:paraId="3846C7B1" w14:textId="77777777" w:rsidR="0037598A" w:rsidRPr="003D36DA" w:rsidRDefault="0037598A" w:rsidP="0037598A">
      <w:pPr>
        <w:spacing w:line="240" w:lineRule="auto"/>
        <w:rPr>
          <w:rFonts w:ascii="Times New Roman" w:hAnsi="Times New Roman" w:cs="Times New Roman"/>
        </w:rPr>
      </w:pPr>
      <w:r w:rsidRPr="003D36DA">
        <w:rPr>
          <w:rFonts w:ascii="Times New Roman" w:hAnsi="Times New Roman" w:cs="Times New Roman"/>
          <w:b/>
          <w:bCs/>
        </w:rPr>
        <w:t>Protections under federal statutes</w:t>
      </w:r>
    </w:p>
    <w:p w14:paraId="0E67A4B3"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rPr>
        <w:t>Federal statutes provide protections to at-will employees, both in the private sector—businesses and non-profits above a minimum number of employees—and in government.</w:t>
      </w:r>
    </w:p>
    <w:p w14:paraId="392620DF"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i/>
          <w:iCs/>
        </w:rPr>
        <w:t>Race</w:t>
      </w:r>
      <w:r w:rsidRPr="003D36DA">
        <w:rPr>
          <w:rFonts w:ascii="Times New Roman" w:hAnsi="Times New Roman" w:cs="Times New Roman"/>
        </w:rPr>
        <w:t>.</w:t>
      </w:r>
      <w:r>
        <w:rPr>
          <w:rFonts w:ascii="Times New Roman" w:hAnsi="Times New Roman" w:cs="Times New Roman"/>
        </w:rPr>
        <w:t xml:space="preserve"> </w:t>
      </w:r>
      <w:r w:rsidRPr="003D36DA">
        <w:rPr>
          <w:rFonts w:ascii="Times New Roman" w:hAnsi="Times New Roman" w:cs="Times New Roman"/>
        </w:rPr>
        <w:t xml:space="preserve"> Under Title VII of the federal Civil Rights Act of 1964 (42 U.S.C. §§ 2000e et seq.), it is unlawful for an employer to dismiss you (or to discriminate otherwise, such as in hiring, promotions, or compensation) because of your race.  This protection applies fully to at-will employees.</w:t>
      </w:r>
      <w:r>
        <w:rPr>
          <w:rFonts w:ascii="Times New Roman" w:hAnsi="Times New Roman" w:cs="Times New Roman"/>
        </w:rPr>
        <w:t xml:space="preserve"> </w:t>
      </w:r>
      <w:r w:rsidRPr="003D36DA">
        <w:rPr>
          <w:rFonts w:ascii="Times New Roman" w:hAnsi="Times New Roman" w:cs="Times New Roman"/>
        </w:rPr>
        <w:t xml:space="preserve"> You can go to the Equal Employment Opportunity Commission and file a charge of discrimination.</w:t>
      </w:r>
      <w:r>
        <w:rPr>
          <w:rFonts w:ascii="Times New Roman" w:hAnsi="Times New Roman" w:cs="Times New Roman"/>
        </w:rPr>
        <w:t xml:space="preserve"> </w:t>
      </w:r>
      <w:r w:rsidRPr="003D36DA">
        <w:rPr>
          <w:rFonts w:ascii="Times New Roman" w:hAnsi="Times New Roman" w:cs="Times New Roman"/>
        </w:rPr>
        <w:t xml:space="preserve"> The EEOC will investigate your claim and, perhaps, make an effort on your behalf to reach an accommodation between you and your employer.</w:t>
      </w:r>
      <w:r>
        <w:rPr>
          <w:rFonts w:ascii="Times New Roman" w:hAnsi="Times New Roman" w:cs="Times New Roman"/>
        </w:rPr>
        <w:t xml:space="preserve"> </w:t>
      </w:r>
      <w:r w:rsidRPr="003D36DA">
        <w:rPr>
          <w:rFonts w:ascii="Times New Roman" w:hAnsi="Times New Roman" w:cs="Times New Roman"/>
        </w:rPr>
        <w:t xml:space="preserve"> If that effort fails, you will be issued a right to sue letter and you can take the employer to court.</w:t>
      </w:r>
      <w:r>
        <w:rPr>
          <w:rFonts w:ascii="Times New Roman" w:hAnsi="Times New Roman" w:cs="Times New Roman"/>
        </w:rPr>
        <w:t xml:space="preserve"> </w:t>
      </w:r>
      <w:r w:rsidRPr="003D36DA">
        <w:rPr>
          <w:rFonts w:ascii="Times New Roman" w:hAnsi="Times New Roman" w:cs="Times New Roman"/>
        </w:rPr>
        <w:t xml:space="preserve"> The effort and expense may be too great, but the legal remedy is there if you can take advantage of it.</w:t>
      </w:r>
    </w:p>
    <w:p w14:paraId="06C7ED8C"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i/>
          <w:iCs/>
        </w:rPr>
        <w:t>Sex</w:t>
      </w:r>
      <w:r w:rsidRPr="003D36DA">
        <w:rPr>
          <w:rFonts w:ascii="Times New Roman" w:hAnsi="Times New Roman" w:cs="Times New Roman"/>
        </w:rPr>
        <w:t>.  Title VII protects you against dismissal—or other discrimination—on account of your sex just as it does on account of your race.</w:t>
      </w:r>
      <w:r>
        <w:rPr>
          <w:rFonts w:ascii="Times New Roman" w:hAnsi="Times New Roman" w:cs="Times New Roman"/>
        </w:rPr>
        <w:t xml:space="preserve">  </w:t>
      </w:r>
      <w:r w:rsidRPr="003D36DA">
        <w:rPr>
          <w:rFonts w:ascii="Times New Roman" w:hAnsi="Times New Roman" w:cs="Times New Roman"/>
        </w:rPr>
        <w:t>The statute uses the term “sex.”</w:t>
      </w:r>
      <w:r>
        <w:rPr>
          <w:rFonts w:ascii="Times New Roman" w:hAnsi="Times New Roman" w:cs="Times New Roman"/>
        </w:rPr>
        <w:t xml:space="preserve"> </w:t>
      </w:r>
      <w:r w:rsidRPr="003D36DA">
        <w:rPr>
          <w:rFonts w:ascii="Times New Roman" w:hAnsi="Times New Roman" w:cs="Times New Roman"/>
        </w:rPr>
        <w:t xml:space="preserve"> In common usage today, however, the term of choice is usually “gender.”</w:t>
      </w:r>
      <w:r>
        <w:rPr>
          <w:rFonts w:ascii="Times New Roman" w:hAnsi="Times New Roman" w:cs="Times New Roman"/>
        </w:rPr>
        <w:t xml:space="preserve">  </w:t>
      </w:r>
      <w:r w:rsidRPr="003D36DA">
        <w:rPr>
          <w:rFonts w:ascii="Times New Roman" w:hAnsi="Times New Roman" w:cs="Times New Roman"/>
        </w:rPr>
        <w:t>For this purpose, the terms are equivalent.</w:t>
      </w:r>
    </w:p>
    <w:p w14:paraId="3EF0C1DE"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i/>
          <w:iCs/>
        </w:rPr>
        <w:t>Religion</w:t>
      </w:r>
      <w:r w:rsidRPr="003D36DA">
        <w:rPr>
          <w:rFonts w:ascii="Times New Roman" w:hAnsi="Times New Roman" w:cs="Times New Roman"/>
        </w:rPr>
        <w:t>.</w:t>
      </w:r>
      <w:r>
        <w:rPr>
          <w:rFonts w:ascii="Times New Roman" w:hAnsi="Times New Roman" w:cs="Times New Roman"/>
        </w:rPr>
        <w:t xml:space="preserve"> </w:t>
      </w:r>
      <w:r w:rsidRPr="003D36DA">
        <w:rPr>
          <w:rFonts w:ascii="Times New Roman" w:hAnsi="Times New Roman" w:cs="Times New Roman"/>
        </w:rPr>
        <w:t xml:space="preserve"> Title VII protects you against discrimination on account of your religion.</w:t>
      </w:r>
      <w:r>
        <w:rPr>
          <w:rFonts w:ascii="Times New Roman" w:hAnsi="Times New Roman" w:cs="Times New Roman"/>
        </w:rPr>
        <w:t xml:space="preserve"> </w:t>
      </w:r>
      <w:r w:rsidRPr="003D36DA">
        <w:rPr>
          <w:rFonts w:ascii="Times New Roman" w:hAnsi="Times New Roman" w:cs="Times New Roman"/>
        </w:rPr>
        <w:t xml:space="preserve"> If you can’t work on Saturday because of religious beliefs, the employer is required to make an effort (but not go to </w:t>
      </w:r>
      <w:r>
        <w:rPr>
          <w:rFonts w:ascii="Times New Roman" w:hAnsi="Times New Roman" w:cs="Times New Roman"/>
        </w:rPr>
        <w:t>undue</w:t>
      </w:r>
      <w:r w:rsidRPr="003D36DA">
        <w:rPr>
          <w:rFonts w:ascii="Times New Roman" w:hAnsi="Times New Roman" w:cs="Times New Roman"/>
        </w:rPr>
        <w:t xml:space="preserve"> expense) to accommodate your religious need rather than simply fire you.</w:t>
      </w:r>
    </w:p>
    <w:p w14:paraId="354A295B"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i/>
          <w:iCs/>
        </w:rPr>
        <w:lastRenderedPageBreak/>
        <w:t>National origin</w:t>
      </w:r>
      <w:r w:rsidRPr="003D36DA">
        <w:rPr>
          <w:rFonts w:ascii="Times New Roman" w:hAnsi="Times New Roman" w:cs="Times New Roman"/>
        </w:rPr>
        <w:t>.</w:t>
      </w:r>
      <w:r>
        <w:rPr>
          <w:rFonts w:ascii="Times New Roman" w:hAnsi="Times New Roman" w:cs="Times New Roman"/>
        </w:rPr>
        <w:t xml:space="preserve"> </w:t>
      </w:r>
      <w:r w:rsidRPr="003D36DA">
        <w:rPr>
          <w:rFonts w:ascii="Times New Roman" w:hAnsi="Times New Roman" w:cs="Times New Roman"/>
        </w:rPr>
        <w:t xml:space="preserve"> Title VII does not use the term “ethnicity,” but it gets at the same notion by protecting you against dismissal on account of your national origin.</w:t>
      </w:r>
    </w:p>
    <w:p w14:paraId="79215B60" w14:textId="77777777" w:rsidR="0037598A" w:rsidRDefault="0037598A" w:rsidP="0037598A">
      <w:pPr>
        <w:spacing w:after="0" w:line="240" w:lineRule="auto"/>
        <w:ind w:firstLine="720"/>
        <w:rPr>
          <w:rFonts w:ascii="Times New Roman" w:hAnsi="Times New Roman" w:cs="Times New Roman"/>
        </w:rPr>
      </w:pPr>
      <w:r w:rsidRPr="003D36DA">
        <w:rPr>
          <w:rFonts w:ascii="Times New Roman" w:hAnsi="Times New Roman" w:cs="Times New Roman"/>
          <w:i/>
          <w:iCs/>
        </w:rPr>
        <w:t>Color</w:t>
      </w:r>
      <w:r w:rsidRPr="003D36DA">
        <w:rPr>
          <w:rFonts w:ascii="Times New Roman" w:hAnsi="Times New Roman" w:cs="Times New Roman"/>
        </w:rPr>
        <w:t>.</w:t>
      </w:r>
      <w:r>
        <w:rPr>
          <w:rFonts w:ascii="Times New Roman" w:hAnsi="Times New Roman" w:cs="Times New Roman"/>
        </w:rPr>
        <w:t xml:space="preserve"> </w:t>
      </w:r>
      <w:r w:rsidRPr="003D36DA">
        <w:rPr>
          <w:rFonts w:ascii="Times New Roman" w:hAnsi="Times New Roman" w:cs="Times New Roman"/>
        </w:rPr>
        <w:t xml:space="preserve"> The fifth, and final, protected characteristic under Title VII is “color.”</w:t>
      </w:r>
      <w:r>
        <w:rPr>
          <w:rFonts w:ascii="Times New Roman" w:hAnsi="Times New Roman" w:cs="Times New Roman"/>
        </w:rPr>
        <w:t xml:space="preserve"> </w:t>
      </w:r>
      <w:r w:rsidRPr="003D36DA">
        <w:rPr>
          <w:rFonts w:ascii="Times New Roman" w:hAnsi="Times New Roman" w:cs="Times New Roman"/>
        </w:rPr>
        <w:t xml:space="preserve"> It correlates closely with race, of course, but it is not the same thing.</w:t>
      </w:r>
      <w:r>
        <w:rPr>
          <w:rFonts w:ascii="Times New Roman" w:hAnsi="Times New Roman" w:cs="Times New Roman"/>
        </w:rPr>
        <w:t xml:space="preserve"> </w:t>
      </w:r>
      <w:r w:rsidRPr="003D36DA">
        <w:rPr>
          <w:rFonts w:ascii="Times New Roman" w:hAnsi="Times New Roman" w:cs="Times New Roman"/>
        </w:rPr>
        <w:t xml:space="preserve"> The protection could apply, for example, if a light-skinned African American employer discriminates against a dark-skinned African American employee because of that employee’s color.</w:t>
      </w:r>
    </w:p>
    <w:p w14:paraId="0FBB717B" w14:textId="77777777" w:rsidR="0037598A" w:rsidRPr="003D36DA" w:rsidRDefault="0037598A" w:rsidP="0037598A">
      <w:pPr>
        <w:spacing w:after="0" w:line="240" w:lineRule="auto"/>
        <w:ind w:firstLine="720"/>
        <w:rPr>
          <w:rFonts w:ascii="Times New Roman" w:hAnsi="Times New Roman" w:cs="Times New Roman"/>
        </w:rPr>
      </w:pPr>
    </w:p>
    <w:p w14:paraId="24FD3C0D"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i/>
          <w:iCs/>
        </w:rPr>
        <w:t>Age</w:t>
      </w:r>
      <w:r w:rsidRPr="003D36DA">
        <w:rPr>
          <w:rFonts w:ascii="Times New Roman" w:hAnsi="Times New Roman" w:cs="Times New Roman"/>
        </w:rPr>
        <w:t>.</w:t>
      </w:r>
      <w:r>
        <w:rPr>
          <w:rFonts w:ascii="Times New Roman" w:hAnsi="Times New Roman" w:cs="Times New Roman"/>
        </w:rPr>
        <w:t xml:space="preserve"> </w:t>
      </w:r>
      <w:r w:rsidRPr="003D36DA">
        <w:rPr>
          <w:rFonts w:ascii="Times New Roman" w:hAnsi="Times New Roman" w:cs="Times New Roman"/>
        </w:rPr>
        <w:t xml:space="preserve"> Three years after enacting Title VII, Congress passed the Age Discrimination in Employment Act (ADEA), 29 U.S.C. §§ 621 et seq..</w:t>
      </w:r>
      <w:r>
        <w:rPr>
          <w:rFonts w:ascii="Times New Roman" w:hAnsi="Times New Roman" w:cs="Times New Roman"/>
        </w:rPr>
        <w:t xml:space="preserve">  </w:t>
      </w:r>
      <w:r w:rsidRPr="003D36DA">
        <w:rPr>
          <w:rFonts w:ascii="Times New Roman" w:hAnsi="Times New Roman" w:cs="Times New Roman"/>
        </w:rPr>
        <w:t>It prohibits dismissal—or other discrimination—on account of a person’s age, once that person reaches 40.</w:t>
      </w:r>
      <w:r>
        <w:rPr>
          <w:rFonts w:ascii="Times New Roman" w:hAnsi="Times New Roman" w:cs="Times New Roman"/>
        </w:rPr>
        <w:t xml:space="preserve"> </w:t>
      </w:r>
      <w:r w:rsidRPr="003D36DA">
        <w:rPr>
          <w:rFonts w:ascii="Times New Roman" w:hAnsi="Times New Roman" w:cs="Times New Roman"/>
        </w:rPr>
        <w:t xml:space="preserve"> It is not unlawful to dismiss an employee who is 35 because that employee is too old, but it is unlawful to dismiss someone who is 41 for being too old.</w:t>
      </w:r>
      <w:r>
        <w:rPr>
          <w:rFonts w:ascii="Times New Roman" w:hAnsi="Times New Roman" w:cs="Times New Roman"/>
        </w:rPr>
        <w:t xml:space="preserve"> </w:t>
      </w:r>
      <w:r w:rsidRPr="003D36DA">
        <w:rPr>
          <w:rFonts w:ascii="Times New Roman" w:hAnsi="Times New Roman" w:cs="Times New Roman"/>
        </w:rPr>
        <w:t xml:space="preserve"> Go figure.</w:t>
      </w:r>
      <w:r>
        <w:rPr>
          <w:rFonts w:ascii="Times New Roman" w:hAnsi="Times New Roman" w:cs="Times New Roman"/>
        </w:rPr>
        <w:t xml:space="preserve"> </w:t>
      </w:r>
      <w:r w:rsidRPr="003D36DA">
        <w:rPr>
          <w:rFonts w:ascii="Times New Roman" w:hAnsi="Times New Roman" w:cs="Times New Roman"/>
        </w:rPr>
        <w:t xml:space="preserve"> When the ADEA was first passed, its protections ended at age 65, and employees were often subject to mandatory retirement at that age.</w:t>
      </w:r>
      <w:r>
        <w:rPr>
          <w:rFonts w:ascii="Times New Roman" w:hAnsi="Times New Roman" w:cs="Times New Roman"/>
        </w:rPr>
        <w:t xml:space="preserve"> </w:t>
      </w:r>
      <w:r w:rsidRPr="003D36DA">
        <w:rPr>
          <w:rFonts w:ascii="Times New Roman" w:hAnsi="Times New Roman" w:cs="Times New Roman"/>
        </w:rPr>
        <w:t xml:space="preserve"> After a few years the age limit was raised to 70, and then the upper limit was removed altogether.</w:t>
      </w:r>
      <w:r>
        <w:rPr>
          <w:rFonts w:ascii="Times New Roman" w:hAnsi="Times New Roman" w:cs="Times New Roman"/>
        </w:rPr>
        <w:t xml:space="preserve"> </w:t>
      </w:r>
      <w:r w:rsidRPr="003D36DA">
        <w:rPr>
          <w:rFonts w:ascii="Times New Roman" w:hAnsi="Times New Roman" w:cs="Times New Roman"/>
        </w:rPr>
        <w:t xml:space="preserve"> It is not unlawful to fire an older worker because she can no longer adequately perform the job, but it is unlawful to fire her just because of her age.</w:t>
      </w:r>
      <w:r>
        <w:rPr>
          <w:rFonts w:ascii="Times New Roman" w:hAnsi="Times New Roman" w:cs="Times New Roman"/>
        </w:rPr>
        <w:t xml:space="preserve"> </w:t>
      </w:r>
      <w:r w:rsidRPr="003D36DA">
        <w:rPr>
          <w:rFonts w:ascii="Times New Roman" w:hAnsi="Times New Roman" w:cs="Times New Roman"/>
        </w:rPr>
        <w:t xml:space="preserve"> The ADEA is administered through the EEOC, as Title VII is.</w:t>
      </w:r>
    </w:p>
    <w:p w14:paraId="21F57353"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i/>
          <w:iCs/>
        </w:rPr>
        <w:t>Disability</w:t>
      </w:r>
      <w:r w:rsidRPr="003D36DA">
        <w:rPr>
          <w:rFonts w:ascii="Times New Roman" w:hAnsi="Times New Roman" w:cs="Times New Roman"/>
        </w:rPr>
        <w:t>.</w:t>
      </w:r>
      <w:r>
        <w:rPr>
          <w:rFonts w:ascii="Times New Roman" w:hAnsi="Times New Roman" w:cs="Times New Roman"/>
        </w:rPr>
        <w:t xml:space="preserve"> </w:t>
      </w:r>
      <w:r w:rsidRPr="003D36DA">
        <w:rPr>
          <w:rFonts w:ascii="Times New Roman" w:hAnsi="Times New Roman" w:cs="Times New Roman"/>
        </w:rPr>
        <w:t xml:space="preserve"> In 1990, Congress passed the Americans With Disabilities Act (ADA), 42 U.S.C. §§ 12101 et seq.</w:t>
      </w:r>
      <w:r>
        <w:rPr>
          <w:rFonts w:ascii="Times New Roman" w:hAnsi="Times New Roman" w:cs="Times New Roman"/>
        </w:rPr>
        <w:t xml:space="preserve"> </w:t>
      </w:r>
      <w:r w:rsidRPr="003D36DA">
        <w:rPr>
          <w:rFonts w:ascii="Times New Roman" w:hAnsi="Times New Roman" w:cs="Times New Roman"/>
        </w:rPr>
        <w:t xml:space="preserve"> The ADA covers many kinds of situations in addition to employment, but its application to employment is its main feature.</w:t>
      </w:r>
      <w:r>
        <w:rPr>
          <w:rFonts w:ascii="Times New Roman" w:hAnsi="Times New Roman" w:cs="Times New Roman"/>
        </w:rPr>
        <w:t xml:space="preserve"> </w:t>
      </w:r>
      <w:r w:rsidRPr="003D36DA">
        <w:rPr>
          <w:rFonts w:ascii="Times New Roman" w:hAnsi="Times New Roman" w:cs="Times New Roman"/>
        </w:rPr>
        <w:t xml:space="preserve"> You may not be fired because of an impairment—mental or physical—that substantially limits you in a major life activity.  And the ADA requires an employer to make an effort to accommodate your disability (perhaps at substantial expense).</w:t>
      </w:r>
      <w:r>
        <w:rPr>
          <w:rFonts w:ascii="Times New Roman" w:hAnsi="Times New Roman" w:cs="Times New Roman"/>
        </w:rPr>
        <w:t xml:space="preserve"> </w:t>
      </w:r>
      <w:r w:rsidRPr="003D36DA">
        <w:rPr>
          <w:rFonts w:ascii="Times New Roman" w:hAnsi="Times New Roman" w:cs="Times New Roman"/>
        </w:rPr>
        <w:t xml:space="preserve"> It is unlawful to dismiss you because of your disability or because the employer doesn’t want to make the accommodation.</w:t>
      </w:r>
      <w:r>
        <w:rPr>
          <w:rFonts w:ascii="Times New Roman" w:hAnsi="Times New Roman" w:cs="Times New Roman"/>
        </w:rPr>
        <w:t xml:space="preserve"> </w:t>
      </w:r>
      <w:r w:rsidRPr="003D36DA">
        <w:rPr>
          <w:rFonts w:ascii="Times New Roman" w:hAnsi="Times New Roman" w:cs="Times New Roman"/>
        </w:rPr>
        <w:t xml:space="preserve"> The ADA is administered through the EEOC.</w:t>
      </w:r>
    </w:p>
    <w:p w14:paraId="6055FE42"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i/>
          <w:iCs/>
        </w:rPr>
        <w:t>Genetic information</w:t>
      </w:r>
      <w:r w:rsidRPr="003D36DA">
        <w:rPr>
          <w:rFonts w:ascii="Times New Roman" w:hAnsi="Times New Roman" w:cs="Times New Roman"/>
        </w:rPr>
        <w:t>.</w:t>
      </w:r>
      <w:r>
        <w:rPr>
          <w:rFonts w:ascii="Times New Roman" w:hAnsi="Times New Roman" w:cs="Times New Roman"/>
        </w:rPr>
        <w:t xml:space="preserve"> </w:t>
      </w:r>
      <w:r w:rsidRPr="003D36DA">
        <w:rPr>
          <w:rFonts w:ascii="Times New Roman" w:hAnsi="Times New Roman" w:cs="Times New Roman"/>
        </w:rPr>
        <w:t xml:space="preserve"> The most recent federal statute is the Genetic Information Discrimination Act, 42 U.S.C. 2000ff et. seq.</w:t>
      </w:r>
      <w:r>
        <w:rPr>
          <w:rFonts w:ascii="Times New Roman" w:hAnsi="Times New Roman" w:cs="Times New Roman"/>
        </w:rPr>
        <w:t xml:space="preserve"> </w:t>
      </w:r>
      <w:r w:rsidRPr="003D36DA">
        <w:rPr>
          <w:rFonts w:ascii="Times New Roman" w:hAnsi="Times New Roman" w:cs="Times New Roman"/>
        </w:rPr>
        <w:t xml:space="preserve"> It prohibits discrimination against you because of genetic information about you or information about your family medical history. See the Coates’ Canons blog</w:t>
      </w:r>
      <w:r>
        <w:rPr>
          <w:rFonts w:ascii="Times New Roman" w:hAnsi="Times New Roman" w:cs="Times New Roman"/>
        </w:rPr>
        <w:t xml:space="preserve"> </w:t>
      </w:r>
      <w:hyperlink r:id="rId9" w:tgtFrame="_blank" w:history="1">
        <w:r w:rsidRPr="003D36DA">
          <w:rPr>
            <w:rStyle w:val="Hyperlink"/>
            <w:rFonts w:ascii="Times New Roman" w:hAnsi="Times New Roman" w:cs="Times New Roman"/>
            <w:b/>
            <w:bCs/>
          </w:rPr>
          <w:t>here</w:t>
        </w:r>
      </w:hyperlink>
      <w:r w:rsidRPr="003D36DA">
        <w:rPr>
          <w:rFonts w:ascii="Times New Roman" w:hAnsi="Times New Roman" w:cs="Times New Roman"/>
        </w:rPr>
        <w:t>.</w:t>
      </w:r>
    </w:p>
    <w:p w14:paraId="5E081246"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i/>
          <w:iCs/>
        </w:rPr>
        <w:t>Military service</w:t>
      </w:r>
      <w:r w:rsidRPr="003D36DA">
        <w:rPr>
          <w:rFonts w:ascii="Times New Roman" w:hAnsi="Times New Roman" w:cs="Times New Roman"/>
        </w:rPr>
        <w:t>.</w:t>
      </w:r>
      <w:r>
        <w:rPr>
          <w:rFonts w:ascii="Times New Roman" w:hAnsi="Times New Roman" w:cs="Times New Roman"/>
        </w:rPr>
        <w:t xml:space="preserve">  </w:t>
      </w:r>
      <w:r w:rsidRPr="003D36DA">
        <w:rPr>
          <w:rFonts w:ascii="Times New Roman" w:hAnsi="Times New Roman" w:cs="Times New Roman"/>
        </w:rPr>
        <w:t>With some limitations, your employer cannot fire you because you enter military service.</w:t>
      </w:r>
      <w:r>
        <w:rPr>
          <w:rFonts w:ascii="Times New Roman" w:hAnsi="Times New Roman" w:cs="Times New Roman"/>
        </w:rPr>
        <w:t xml:space="preserve"> </w:t>
      </w:r>
      <w:r w:rsidRPr="003D36DA">
        <w:rPr>
          <w:rFonts w:ascii="Times New Roman" w:hAnsi="Times New Roman" w:cs="Times New Roman"/>
        </w:rPr>
        <w:t xml:space="preserve"> The Uniformed Services Employment and Reemployment Rights Act, 39 U.S.C. §§ 4301 et seq., so provides, and also requires that, within limitations, the employer must hold a job for you when you get back from service.</w:t>
      </w:r>
    </w:p>
    <w:p w14:paraId="76B201A2" w14:textId="77777777" w:rsidR="0037598A" w:rsidRPr="003D36DA" w:rsidRDefault="0037598A" w:rsidP="0037598A">
      <w:pPr>
        <w:spacing w:line="240" w:lineRule="auto"/>
        <w:rPr>
          <w:rFonts w:ascii="Times New Roman" w:hAnsi="Times New Roman" w:cs="Times New Roman"/>
        </w:rPr>
      </w:pPr>
      <w:r w:rsidRPr="003D36DA">
        <w:rPr>
          <w:rFonts w:ascii="Times New Roman" w:hAnsi="Times New Roman" w:cs="Times New Roman"/>
          <w:b/>
          <w:bCs/>
        </w:rPr>
        <w:t>Federal constitutional protections</w:t>
      </w:r>
    </w:p>
    <w:p w14:paraId="25F5ADDF"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rPr>
        <w:t>Protections that stem directly from the United States Constitution apply only to employees of the government—state or local—and not to employees in the private sector</w:t>
      </w:r>
      <w:r>
        <w:rPr>
          <w:rFonts w:ascii="Times New Roman" w:hAnsi="Times New Roman" w:cs="Times New Roman"/>
        </w:rPr>
        <w:t xml:space="preserve">.  </w:t>
      </w:r>
      <w:r w:rsidRPr="003D36DA">
        <w:rPr>
          <w:rFonts w:ascii="Times New Roman" w:hAnsi="Times New Roman" w:cs="Times New Roman"/>
        </w:rPr>
        <w:t xml:space="preserve"> How come?  Because the Constitution acts to constrain how government acts.  That is, it describes the relationship between citizen and government.  It does not directly control how private entities act.  When the government becomes an employer and hires you to work for it, you don’t stop being a citizen.  Two relationships exist at once—employer/employee and government/citizen.  When the government acts against you in the way that any employer might act—say, by firing you—the protections that you enjoy as a citizen may affect the legality of the employer’s action.  Employees in the private sector do not have these protections.</w:t>
      </w:r>
    </w:p>
    <w:p w14:paraId="5D1C0DF7"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i/>
          <w:iCs/>
        </w:rPr>
        <w:lastRenderedPageBreak/>
        <w:t>Free speech</w:t>
      </w:r>
      <w:r w:rsidRPr="003D36DA">
        <w:rPr>
          <w:rFonts w:ascii="Times New Roman" w:hAnsi="Times New Roman" w:cs="Times New Roman"/>
        </w:rPr>
        <w:t>.  When you go to work for the government, one protection that follows you as a citizen is the right to free speech embedded in the First Amendment.  That right is not absolute, but if you believe you were fired because of what you said on a matter of public concern, you can pursue the matter with a lawsuit.  The court will balance your interests in speaking out against the governmental employer’s interest in getting the job done without unreasonable disruption.  See Coates’ Canons blog posts </w:t>
      </w:r>
      <w:hyperlink r:id="rId10" w:tgtFrame="_blank" w:history="1">
        <w:r w:rsidRPr="003D36DA">
          <w:rPr>
            <w:rStyle w:val="Hyperlink"/>
            <w:rFonts w:ascii="Times New Roman" w:hAnsi="Times New Roman" w:cs="Times New Roman"/>
            <w:b/>
            <w:bCs/>
          </w:rPr>
          <w:t>here </w:t>
        </w:r>
      </w:hyperlink>
      <w:r w:rsidRPr="003D36DA">
        <w:rPr>
          <w:rFonts w:ascii="Times New Roman" w:hAnsi="Times New Roman" w:cs="Times New Roman"/>
        </w:rPr>
        <w:t>and </w:t>
      </w:r>
      <w:hyperlink r:id="rId11" w:tgtFrame="_blank" w:history="1">
        <w:r w:rsidRPr="003D36DA">
          <w:rPr>
            <w:rStyle w:val="Hyperlink"/>
            <w:rFonts w:ascii="Times New Roman" w:hAnsi="Times New Roman" w:cs="Times New Roman"/>
            <w:b/>
            <w:bCs/>
          </w:rPr>
          <w:t>here</w:t>
        </w:r>
      </w:hyperlink>
      <w:r w:rsidRPr="003D36DA">
        <w:rPr>
          <w:rFonts w:ascii="Times New Roman" w:hAnsi="Times New Roman" w:cs="Times New Roman"/>
        </w:rPr>
        <w:t>.</w:t>
      </w:r>
    </w:p>
    <w:p w14:paraId="1850A149"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i/>
          <w:iCs/>
        </w:rPr>
        <w:t>Religion (again)</w:t>
      </w:r>
      <w:r w:rsidRPr="003D36DA">
        <w:rPr>
          <w:rFonts w:ascii="Times New Roman" w:hAnsi="Times New Roman" w:cs="Times New Roman"/>
        </w:rPr>
        <w:t>.  The First Amendment also protects individuals in the free expression of their religion.  When you go to work for the government you have the full protection of Title VII, described above, but you also have this constitutional protection and, if you believe your dismissal was based on their religion, you may sue directly under the constitution, in addition to pursuing your Title VII remedy.</w:t>
      </w:r>
    </w:p>
    <w:p w14:paraId="68483E37"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i/>
          <w:iCs/>
        </w:rPr>
        <w:t>Unreasonable searches</w:t>
      </w:r>
      <w:r w:rsidRPr="003D36DA">
        <w:rPr>
          <w:rFonts w:ascii="Times New Roman" w:hAnsi="Times New Roman" w:cs="Times New Roman"/>
        </w:rPr>
        <w:t>.  The Fourth Amendment protects individuals against unreasonable searches and seizures.  If a governmental employer looks through your desk drawers or computer-usage records, or demands urine or blood for a drug test, and fires you for what it finds (or because you refuse to go along with the search), the possibility exists that you may sue under the Fourth Amendment.  See Coates’ Canons blog posts </w:t>
      </w:r>
      <w:hyperlink r:id="rId12" w:tgtFrame="_blank" w:history="1">
        <w:r w:rsidRPr="003D36DA">
          <w:rPr>
            <w:rStyle w:val="Hyperlink"/>
            <w:rFonts w:ascii="Times New Roman" w:hAnsi="Times New Roman" w:cs="Times New Roman"/>
            <w:b/>
            <w:bCs/>
          </w:rPr>
          <w:t>here </w:t>
        </w:r>
      </w:hyperlink>
      <w:r w:rsidRPr="003D36DA">
        <w:rPr>
          <w:rFonts w:ascii="Times New Roman" w:hAnsi="Times New Roman" w:cs="Times New Roman"/>
        </w:rPr>
        <w:t>and </w:t>
      </w:r>
      <w:hyperlink r:id="rId13" w:tgtFrame="_blank" w:history="1">
        <w:r w:rsidRPr="003D36DA">
          <w:rPr>
            <w:rStyle w:val="Hyperlink"/>
            <w:rFonts w:ascii="Times New Roman" w:hAnsi="Times New Roman" w:cs="Times New Roman"/>
            <w:b/>
            <w:bCs/>
          </w:rPr>
          <w:t>here</w:t>
        </w:r>
      </w:hyperlink>
      <w:r w:rsidRPr="003D36DA">
        <w:rPr>
          <w:rFonts w:ascii="Times New Roman" w:hAnsi="Times New Roman" w:cs="Times New Roman"/>
          <w:u w:val="single"/>
        </w:rPr>
        <w:t>.</w:t>
      </w:r>
    </w:p>
    <w:p w14:paraId="3687B5DF" w14:textId="77777777" w:rsidR="0037598A" w:rsidRPr="003D36DA" w:rsidRDefault="0037598A" w:rsidP="0037598A">
      <w:pPr>
        <w:spacing w:line="240" w:lineRule="auto"/>
        <w:rPr>
          <w:rFonts w:ascii="Times New Roman" w:hAnsi="Times New Roman" w:cs="Times New Roman"/>
        </w:rPr>
      </w:pPr>
      <w:r w:rsidRPr="003D36DA">
        <w:rPr>
          <w:rFonts w:ascii="Times New Roman" w:hAnsi="Times New Roman" w:cs="Times New Roman"/>
          <w:b/>
          <w:bCs/>
        </w:rPr>
        <w:t>Protections under North Carolina statutes</w:t>
      </w:r>
    </w:p>
    <w:p w14:paraId="0F590973"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rPr>
        <w:t>The North Carolina Retaliatory Employment Discrimination Act (REDA), G.S. 95-240 et seq., pulls together provisions scattered throughout the state General Statutes to protect employees against dismissal in particular circumstances.  An employee with a claim under REDA goes first to the N.C. Department of Labor with a complaint and then may bring a lawsuit.</w:t>
      </w:r>
    </w:p>
    <w:p w14:paraId="65CC47A8"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i/>
          <w:iCs/>
        </w:rPr>
        <w:t>Workers’ compensation, wage and hour, and mine safety claims</w:t>
      </w:r>
      <w:r w:rsidRPr="003D36DA">
        <w:rPr>
          <w:rFonts w:ascii="Times New Roman" w:hAnsi="Times New Roman" w:cs="Times New Roman"/>
        </w:rPr>
        <w:t>.  Under REDA, it is unlawful for your employer to fire (or otherwise to adversely treat) you because you file a workers’ compensation claim or testify with respect to the claim of another employee.  The same is true with respect to wage and hour claims under state law and to claims under the state’s mine safety law.</w:t>
      </w:r>
    </w:p>
    <w:p w14:paraId="68E5F1CA"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i/>
          <w:iCs/>
        </w:rPr>
        <w:t>Sickle cell</w:t>
      </w:r>
      <w:r w:rsidRPr="003D36DA">
        <w:rPr>
          <w:rFonts w:ascii="Times New Roman" w:hAnsi="Times New Roman" w:cs="Times New Roman"/>
        </w:rPr>
        <w:t>.  Under REDA, you may not be fired (or otherwise adversely treated) you because you possesses the sickle cell trait or hemoglobin C trait.</w:t>
      </w:r>
    </w:p>
    <w:p w14:paraId="5879B297"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i/>
          <w:iCs/>
        </w:rPr>
        <w:t>National guard service</w:t>
      </w:r>
      <w:r w:rsidRPr="003D36DA">
        <w:rPr>
          <w:rFonts w:ascii="Times New Roman" w:hAnsi="Times New Roman" w:cs="Times New Roman"/>
        </w:rPr>
        <w:t>.  Under REDA, you may not be fired (or otherwise adversely treated) you because you serve in the National Guard.</w:t>
      </w:r>
    </w:p>
    <w:p w14:paraId="4FC52D63"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i/>
          <w:iCs/>
        </w:rPr>
        <w:t>Genetic information (again)</w:t>
      </w:r>
      <w:r w:rsidRPr="003D36DA">
        <w:rPr>
          <w:rFonts w:ascii="Times New Roman" w:hAnsi="Times New Roman" w:cs="Times New Roman"/>
        </w:rPr>
        <w:t>.  Under REDA, as under GINA, discussed above, you may not be fired because of genetic information about you or a family member.</w:t>
      </w:r>
    </w:p>
    <w:p w14:paraId="5A6B0355"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i/>
          <w:iCs/>
        </w:rPr>
        <w:t>Pesticide use</w:t>
      </w:r>
      <w:r w:rsidRPr="003D36DA">
        <w:rPr>
          <w:rFonts w:ascii="Times New Roman" w:hAnsi="Times New Roman" w:cs="Times New Roman"/>
        </w:rPr>
        <w:t>.  Under REDA, you may not be fired because you pursue your rights under the state statute on the regulation of the use of pesticides or testify with respect to the claim of another employee.</w:t>
      </w:r>
    </w:p>
    <w:p w14:paraId="566BC1F3"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i/>
          <w:iCs/>
        </w:rPr>
        <w:t>Drug paraphernalia sales</w:t>
      </w:r>
      <w:r w:rsidRPr="003D36DA">
        <w:rPr>
          <w:rFonts w:ascii="Times New Roman" w:hAnsi="Times New Roman" w:cs="Times New Roman"/>
        </w:rPr>
        <w:t>.  Under REDA, you may not be fired because you refuse to sell certain products banned by the state statute controlling sales of drug usage products.</w:t>
      </w:r>
    </w:p>
    <w:p w14:paraId="7EFC5A98"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i/>
          <w:iCs/>
        </w:rPr>
        <w:t>Juvenile order compliance</w:t>
      </w:r>
      <w:r w:rsidRPr="003D36DA">
        <w:rPr>
          <w:rFonts w:ascii="Times New Roman" w:hAnsi="Times New Roman" w:cs="Times New Roman"/>
        </w:rPr>
        <w:t>.  Under REDA, you may not be fired because you attend a court proceeding or take other actions that a court may order in cases where your child is under the jurisdiction of the juvenile court for delinquency.</w:t>
      </w:r>
    </w:p>
    <w:p w14:paraId="322C78D3"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i/>
          <w:iCs/>
        </w:rPr>
        <w:lastRenderedPageBreak/>
        <w:t>Domestic violence protection</w:t>
      </w:r>
      <w:r w:rsidRPr="003D36DA">
        <w:rPr>
          <w:rFonts w:ascii="Times New Roman" w:hAnsi="Times New Roman" w:cs="Times New Roman"/>
        </w:rPr>
        <w:t>.  Under REDA, you may not be fired if, with reasonable notice to the employer, you have to take time off work to obtain, through the judicial system, a domestic violation protection order or civil no-contact order.  See G.S. 95-270.</w:t>
      </w:r>
    </w:p>
    <w:p w14:paraId="6F23F703"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i/>
          <w:iCs/>
        </w:rPr>
        <w:t>How you vote</w:t>
      </w:r>
      <w:r w:rsidRPr="003D36DA">
        <w:rPr>
          <w:rFonts w:ascii="Times New Roman" w:hAnsi="Times New Roman" w:cs="Times New Roman"/>
        </w:rPr>
        <w:t>.  This prohibition is not in REDA–and it is the only crime in the bunch! G.S. 163-274(a)(6) makes it misdemeanor “to discharge or threaten to discharge from employment . . . any legally qualified voter on account of any vote such voter may cast or consider or intend to cast, or not to cast, or which he may have failed to cast.”  You can’t be fired for how you vote.  Another provision applies only to units of government.  It is found at G.S. 163-271.  If you work for the government, it says, you may not be fired for how you cast your vote. (Thanks to Don Wright, general counsel at the State Board of Elections, for pointing out G.S. 163-274(a)(6) to me.)</w:t>
      </w:r>
    </w:p>
    <w:p w14:paraId="51C82F6A"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i/>
          <w:iCs/>
        </w:rPr>
        <w:t>Serving on election day</w:t>
      </w:r>
      <w:r w:rsidRPr="003D36DA">
        <w:rPr>
          <w:rFonts w:ascii="Times New Roman" w:hAnsi="Times New Roman" w:cs="Times New Roman"/>
        </w:rPr>
        <w:t>.  This prohibition is also not in REDA, but is found at G.S. 163-41.2   As long as you give proper notice to your employer that you will be absent, you may not be fired because you agree to serve as a precinct official, appointed by the county board of elections, on election day.</w:t>
      </w:r>
    </w:p>
    <w:p w14:paraId="07CFE322"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i/>
          <w:iCs/>
        </w:rPr>
        <w:t>Whistleblowing</w:t>
      </w:r>
      <w:r w:rsidRPr="003D36DA">
        <w:rPr>
          <w:rFonts w:ascii="Times New Roman" w:hAnsi="Times New Roman" w:cs="Times New Roman"/>
        </w:rPr>
        <w:t>.  The North Carolina Whistleblower’s Protection Act, found at G.S. 126-84 et seq., protects employees of the state, of community colleges, and public schools from dismissal for reporting violations of law, fraud, misappropriation of resources, specific dangers, and gross mismanagement by their employers.  It does not apply to other governemental employees or to employees in the private sector.  See Coates’ Canon blog post </w:t>
      </w:r>
      <w:hyperlink r:id="rId14" w:tgtFrame="_blank" w:history="1">
        <w:r w:rsidRPr="003D36DA">
          <w:rPr>
            <w:rStyle w:val="Hyperlink"/>
            <w:rFonts w:ascii="Times New Roman" w:hAnsi="Times New Roman" w:cs="Times New Roman"/>
            <w:b/>
            <w:bCs/>
          </w:rPr>
          <w:t>here</w:t>
        </w:r>
      </w:hyperlink>
      <w:r w:rsidRPr="003D36DA">
        <w:rPr>
          <w:rFonts w:ascii="Times New Roman" w:hAnsi="Times New Roman" w:cs="Times New Roman"/>
        </w:rPr>
        <w:t>.</w:t>
      </w:r>
    </w:p>
    <w:p w14:paraId="4D4938DD"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i/>
          <w:iCs/>
        </w:rPr>
        <w:t>Refusing to perform abortions</w:t>
      </w:r>
      <w:r w:rsidRPr="003D36DA">
        <w:rPr>
          <w:rFonts w:ascii="Times New Roman" w:hAnsi="Times New Roman" w:cs="Times New Roman"/>
        </w:rPr>
        <w:t>.  You can’t be fired, if you are a health care provider, because you refuse to participate in an abortion procedure for moral, ethical, or religious reasons.  G.S. 14-45.1(e).  (Thanks to Gerry Cohen, special counsel, North Carolina General Assembly, for pointing out this provision to me.)</w:t>
      </w:r>
    </w:p>
    <w:p w14:paraId="0D1741E4" w14:textId="77777777" w:rsidR="0037598A" w:rsidRPr="003D36DA" w:rsidRDefault="0037598A" w:rsidP="0037598A">
      <w:pPr>
        <w:spacing w:line="240" w:lineRule="auto"/>
        <w:rPr>
          <w:rFonts w:ascii="Times New Roman" w:hAnsi="Times New Roman" w:cs="Times New Roman"/>
        </w:rPr>
      </w:pPr>
      <w:r w:rsidRPr="003D36DA">
        <w:rPr>
          <w:rFonts w:ascii="Times New Roman" w:hAnsi="Times New Roman" w:cs="Times New Roman"/>
          <w:b/>
          <w:bCs/>
        </w:rPr>
        <w:t>North Carolina common law protection</w:t>
      </w:r>
    </w:p>
    <w:p w14:paraId="504785DE"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rPr>
        <w:t>The vaguest, and oddest, of the legal provisions restricting the firing of employees is actually not a statute.  It is instead a common law provision.  That is, it was not developed by the legislature but by the courts, originally in </w:t>
      </w:r>
      <w:r w:rsidRPr="003D36DA">
        <w:rPr>
          <w:rFonts w:ascii="Times New Roman" w:hAnsi="Times New Roman" w:cs="Times New Roman"/>
          <w:i/>
          <w:iCs/>
        </w:rPr>
        <w:t>Sides v. Duke Hospital</w:t>
      </w:r>
      <w:r w:rsidRPr="003D36DA">
        <w:rPr>
          <w:rFonts w:ascii="Times New Roman" w:hAnsi="Times New Roman" w:cs="Times New Roman"/>
        </w:rPr>
        <w:t>, 74 N.C. App. 331 (1985).  And it is not an outright prohibition on firing.  Instead, it creates the possibility of a monetary recovery in court by someone who has been fired.</w:t>
      </w:r>
    </w:p>
    <w:p w14:paraId="62E77EC5"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i/>
          <w:iCs/>
        </w:rPr>
        <w:t>The public policy wrongful discharge tort</w:t>
      </w:r>
      <w:r w:rsidRPr="003D36DA">
        <w:rPr>
          <w:rFonts w:ascii="Times New Roman" w:hAnsi="Times New Roman" w:cs="Times New Roman"/>
        </w:rPr>
        <w:t>.  The </w:t>
      </w:r>
      <w:r w:rsidRPr="003D36DA">
        <w:rPr>
          <w:rFonts w:ascii="Times New Roman" w:hAnsi="Times New Roman" w:cs="Times New Roman"/>
          <w:i/>
          <w:iCs/>
        </w:rPr>
        <w:t>Sides</w:t>
      </w:r>
      <w:r w:rsidRPr="003D36DA">
        <w:rPr>
          <w:rFonts w:ascii="Times New Roman" w:hAnsi="Times New Roman" w:cs="Times New Roman"/>
        </w:rPr>
        <w:t> case and the many that have followed it have created this exception to employment at will:  if I, the employer, fire you, my employee, because you refuse to do something that would violate the public policy of the state, I have committed the tort of wrongful discharge and you can sue me.  If you win, you don’t get your job back, you get money from me to compensate you for your lost job.  Here is an example:  I fire you because you testify against me in court, truthfully, in response to a subpoena.  It is the public policy of this state that everyone is to tell the truth in court.  I can’t get away with firing you because you won’t lie in court.</w:t>
      </w:r>
    </w:p>
    <w:p w14:paraId="65F745B3" w14:textId="77777777" w:rsidR="0037598A" w:rsidRPr="003D36DA" w:rsidRDefault="0037598A" w:rsidP="0037598A">
      <w:pPr>
        <w:spacing w:line="240" w:lineRule="auto"/>
        <w:ind w:firstLine="720"/>
        <w:rPr>
          <w:rFonts w:ascii="Times New Roman" w:hAnsi="Times New Roman" w:cs="Times New Roman"/>
        </w:rPr>
      </w:pPr>
      <w:r w:rsidRPr="003D36DA">
        <w:rPr>
          <w:rFonts w:ascii="Times New Roman" w:hAnsi="Times New Roman" w:cs="Times New Roman"/>
          <w:i/>
          <w:iCs/>
        </w:rPr>
        <w:t>State constitutional protection</w:t>
      </w:r>
      <w:r w:rsidRPr="003D36DA">
        <w:rPr>
          <w:rFonts w:ascii="Times New Roman" w:hAnsi="Times New Roman" w:cs="Times New Roman"/>
        </w:rPr>
        <w:t>.  A rare protection is found under the North Carolina Constitution.  Our courts have said, starting with </w:t>
      </w:r>
      <w:r w:rsidRPr="003D36DA">
        <w:rPr>
          <w:rFonts w:ascii="Times New Roman" w:hAnsi="Times New Roman" w:cs="Times New Roman"/>
          <w:i/>
          <w:iCs/>
        </w:rPr>
        <w:t>Corum v. University of North Carolina</w:t>
      </w:r>
      <w:r w:rsidRPr="003D36DA">
        <w:rPr>
          <w:rFonts w:ascii="Times New Roman" w:hAnsi="Times New Roman" w:cs="Times New Roman"/>
        </w:rPr>
        <w:t xml:space="preserve">, 330 N.C. 761 (1992), that where protections are laid out in the state constitution and are violated by a governmental employer, as in the dismissal of an employee for the legitimate exercise of free </w:t>
      </w:r>
      <w:r w:rsidRPr="003D36DA">
        <w:rPr>
          <w:rFonts w:ascii="Times New Roman" w:hAnsi="Times New Roman" w:cs="Times New Roman"/>
        </w:rPr>
        <w:lastRenderedPageBreak/>
        <w:t>speech, the employee may sue directly in state court to remedy the violation, but only if no other provision of law gives the chance at a remedy.  There have not been many successful employee lawsuits brought this way.</w:t>
      </w:r>
    </w:p>
    <w:p w14:paraId="5A39C0B6" w14:textId="77777777" w:rsidR="0037598A" w:rsidRPr="003D36DA" w:rsidRDefault="0037598A" w:rsidP="0037598A">
      <w:pPr>
        <w:spacing w:line="240" w:lineRule="auto"/>
        <w:rPr>
          <w:rFonts w:ascii="Times New Roman" w:hAnsi="Times New Roman" w:cs="Times New Roman"/>
        </w:rPr>
      </w:pPr>
    </w:p>
    <w:p w14:paraId="47306D44" w14:textId="54A8ED69" w:rsidR="0037598A" w:rsidRDefault="0037598A">
      <w:pPr>
        <w:rPr>
          <w:rFonts w:ascii="Times New Roman" w:hAnsi="Times New Roman" w:cs="Times New Roman"/>
        </w:rPr>
      </w:pPr>
      <w:r>
        <w:rPr>
          <w:rFonts w:ascii="Times New Roman" w:hAnsi="Times New Roman" w:cs="Times New Roman"/>
        </w:rPr>
        <w:br w:type="page"/>
      </w:r>
    </w:p>
    <w:p w14:paraId="10DBDA76" w14:textId="5D589158" w:rsidR="00FF57FD" w:rsidRDefault="0037598A" w:rsidP="0037598A">
      <w:pPr>
        <w:spacing w:after="0" w:line="240" w:lineRule="auto"/>
        <w:jc w:val="center"/>
        <w:rPr>
          <w:rFonts w:ascii="Times New Roman" w:hAnsi="Times New Roman" w:cs="Times New Roman"/>
          <w:b/>
          <w:bCs/>
          <w:sz w:val="44"/>
          <w:szCs w:val="44"/>
        </w:rPr>
      </w:pPr>
      <w:r w:rsidRPr="00FF57FD">
        <w:rPr>
          <w:rFonts w:ascii="Times New Roman" w:hAnsi="Times New Roman" w:cs="Times New Roman"/>
          <w:b/>
          <w:bCs/>
          <w:sz w:val="44"/>
          <w:szCs w:val="44"/>
        </w:rPr>
        <w:lastRenderedPageBreak/>
        <w:t>Hiring and Firing Authority</w:t>
      </w:r>
    </w:p>
    <w:p w14:paraId="2C3DE6FD" w14:textId="525B3A63" w:rsidR="0037598A" w:rsidRPr="00FF57FD" w:rsidRDefault="0037598A" w:rsidP="0037598A">
      <w:pPr>
        <w:spacing w:after="0" w:line="240" w:lineRule="auto"/>
        <w:jc w:val="center"/>
        <w:rPr>
          <w:rFonts w:ascii="Times New Roman" w:hAnsi="Times New Roman" w:cs="Times New Roman"/>
          <w:b/>
          <w:bCs/>
          <w:sz w:val="44"/>
          <w:szCs w:val="44"/>
        </w:rPr>
      </w:pPr>
      <w:r w:rsidRPr="00FF57FD">
        <w:rPr>
          <w:rFonts w:ascii="Times New Roman" w:hAnsi="Times New Roman" w:cs="Times New Roman"/>
          <w:b/>
          <w:bCs/>
          <w:sz w:val="44"/>
          <w:szCs w:val="44"/>
        </w:rPr>
        <w:t>in North Carolina Government:</w:t>
      </w:r>
    </w:p>
    <w:p w14:paraId="5DD34CE1" w14:textId="77777777" w:rsidR="0037598A" w:rsidRPr="00FF57FD" w:rsidRDefault="0037598A" w:rsidP="0037598A">
      <w:pPr>
        <w:spacing w:after="0" w:line="240" w:lineRule="auto"/>
        <w:jc w:val="center"/>
        <w:rPr>
          <w:rFonts w:ascii="Times New Roman" w:hAnsi="Times New Roman" w:cs="Times New Roman"/>
          <w:b/>
          <w:bCs/>
          <w:sz w:val="44"/>
          <w:szCs w:val="44"/>
        </w:rPr>
      </w:pPr>
      <w:r w:rsidRPr="00FF57FD">
        <w:rPr>
          <w:rFonts w:ascii="Times New Roman" w:hAnsi="Times New Roman" w:cs="Times New Roman"/>
          <w:b/>
          <w:bCs/>
          <w:sz w:val="44"/>
          <w:szCs w:val="44"/>
        </w:rPr>
        <w:t>What the Statutes Say</w:t>
      </w:r>
    </w:p>
    <w:p w14:paraId="0E392CD5" w14:textId="77777777" w:rsidR="0037598A" w:rsidRPr="0037598A" w:rsidRDefault="0037598A" w:rsidP="0037598A">
      <w:pPr>
        <w:spacing w:after="0" w:line="240" w:lineRule="auto"/>
        <w:jc w:val="center"/>
        <w:rPr>
          <w:rFonts w:ascii="Times New Roman" w:hAnsi="Times New Roman" w:cs="Times New Roman"/>
          <w:sz w:val="28"/>
          <w:szCs w:val="28"/>
        </w:rPr>
      </w:pPr>
    </w:p>
    <w:p w14:paraId="427999BB" w14:textId="77777777" w:rsidR="0037598A" w:rsidRPr="0037598A" w:rsidRDefault="0037598A" w:rsidP="0037598A">
      <w:pPr>
        <w:spacing w:after="0" w:line="240" w:lineRule="auto"/>
        <w:jc w:val="center"/>
        <w:rPr>
          <w:rFonts w:ascii="Times New Roman" w:hAnsi="Times New Roman" w:cs="Times New Roman"/>
          <w:sz w:val="28"/>
          <w:szCs w:val="28"/>
        </w:rPr>
      </w:pPr>
    </w:p>
    <w:p w14:paraId="4E0B772B" w14:textId="77777777" w:rsidR="0037598A" w:rsidRPr="0037598A" w:rsidRDefault="0037598A" w:rsidP="0037598A">
      <w:pPr>
        <w:spacing w:after="0" w:line="240" w:lineRule="auto"/>
        <w:jc w:val="center"/>
        <w:rPr>
          <w:rFonts w:ascii="Times New Roman" w:hAnsi="Times New Roman" w:cs="Times New Roman"/>
          <w:b/>
          <w:bCs/>
          <w:sz w:val="32"/>
          <w:szCs w:val="32"/>
        </w:rPr>
      </w:pPr>
      <w:r w:rsidRPr="0037598A">
        <w:rPr>
          <w:rFonts w:ascii="Times New Roman" w:hAnsi="Times New Roman" w:cs="Times New Roman"/>
          <w:b/>
          <w:bCs/>
          <w:sz w:val="32"/>
          <w:szCs w:val="32"/>
        </w:rPr>
        <w:t>Cities</w:t>
      </w:r>
    </w:p>
    <w:p w14:paraId="28E79D77" w14:textId="77777777" w:rsidR="0037598A" w:rsidRPr="0037598A" w:rsidRDefault="0037598A" w:rsidP="0037598A">
      <w:pPr>
        <w:spacing w:after="0" w:line="240" w:lineRule="auto"/>
        <w:jc w:val="center"/>
        <w:rPr>
          <w:rFonts w:ascii="Times New Roman" w:hAnsi="Times New Roman" w:cs="Times New Roman"/>
        </w:rPr>
      </w:pPr>
    </w:p>
    <w:p w14:paraId="5890A6D6" w14:textId="77777777" w:rsidR="0037598A" w:rsidRPr="0037598A" w:rsidRDefault="0037598A" w:rsidP="0037598A">
      <w:pPr>
        <w:spacing w:after="0" w:line="240" w:lineRule="auto"/>
        <w:jc w:val="center"/>
        <w:rPr>
          <w:rFonts w:ascii="Times New Roman" w:hAnsi="Times New Roman" w:cs="Times New Roman"/>
        </w:rPr>
      </w:pPr>
    </w:p>
    <w:p w14:paraId="405D39F5" w14:textId="77777777" w:rsidR="0037598A" w:rsidRPr="0037598A" w:rsidRDefault="0037598A" w:rsidP="0037598A">
      <w:pPr>
        <w:spacing w:after="0" w:line="240" w:lineRule="auto"/>
        <w:jc w:val="center"/>
        <w:rPr>
          <w:rFonts w:ascii="Times New Roman" w:hAnsi="Times New Roman" w:cs="Times New Roman"/>
          <w:sz w:val="28"/>
          <w:szCs w:val="28"/>
          <w:u w:val="single"/>
        </w:rPr>
      </w:pPr>
      <w:r w:rsidRPr="0037598A">
        <w:rPr>
          <w:rFonts w:ascii="Times New Roman" w:hAnsi="Times New Roman" w:cs="Times New Roman"/>
          <w:sz w:val="28"/>
          <w:szCs w:val="28"/>
          <w:u w:val="single"/>
        </w:rPr>
        <w:t>Cities with Managers</w:t>
      </w:r>
    </w:p>
    <w:p w14:paraId="53853A27" w14:textId="77777777" w:rsidR="0037598A" w:rsidRPr="0037598A" w:rsidRDefault="0037598A" w:rsidP="0037598A">
      <w:pPr>
        <w:spacing w:after="0" w:line="240" w:lineRule="auto"/>
        <w:rPr>
          <w:rFonts w:ascii="Times New Roman" w:hAnsi="Times New Roman" w:cs="Times New Roman"/>
        </w:rPr>
      </w:pPr>
    </w:p>
    <w:p w14:paraId="3914D551" w14:textId="77777777" w:rsidR="0037598A" w:rsidRPr="0037598A" w:rsidRDefault="0037598A" w:rsidP="0037598A">
      <w:pPr>
        <w:spacing w:after="0" w:line="240" w:lineRule="auto"/>
        <w:rPr>
          <w:rFonts w:ascii="Times New Roman" w:hAnsi="Times New Roman" w:cs="Times New Roman"/>
        </w:rPr>
      </w:pPr>
    </w:p>
    <w:p w14:paraId="6F485486"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xml:space="preserve">§ 160A-147.  Appointment of city manager; dual office holding. </w:t>
      </w:r>
    </w:p>
    <w:p w14:paraId="44DF7930" w14:textId="77777777" w:rsidR="0037598A" w:rsidRPr="0037598A" w:rsidRDefault="0037598A" w:rsidP="0037598A">
      <w:pPr>
        <w:spacing w:after="0" w:line="240" w:lineRule="auto"/>
        <w:rPr>
          <w:rFonts w:ascii="Times New Roman" w:hAnsi="Times New Roman" w:cs="Times New Roman"/>
        </w:rPr>
      </w:pPr>
    </w:p>
    <w:p w14:paraId="4C38FE7A"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(a) In cities whose charters provide for the council-manager form of government</w:t>
      </w:r>
      <w:r w:rsidRPr="0037598A">
        <w:rPr>
          <w:rFonts w:ascii="Times New Roman" w:hAnsi="Times New Roman" w:cs="Times New Roman"/>
          <w:b/>
          <w:bCs/>
        </w:rPr>
        <w:t>, the council shall appoint a city manager to serve at its pleasure</w:t>
      </w:r>
      <w:r w:rsidRPr="0037598A">
        <w:rPr>
          <w:rFonts w:ascii="Times New Roman" w:hAnsi="Times New Roman" w:cs="Times New Roman"/>
        </w:rPr>
        <w:t>. The manager shall be appointed solely on the basis of the manager's executive and administrative qualifications. The manager need not be a resident of the city or State at the time of appointment.</w:t>
      </w:r>
    </w:p>
    <w:p w14:paraId="41877892" w14:textId="77777777" w:rsidR="0037598A" w:rsidRPr="0037598A" w:rsidRDefault="0037598A" w:rsidP="0037598A">
      <w:pPr>
        <w:spacing w:after="0" w:line="240" w:lineRule="auto"/>
        <w:rPr>
          <w:rFonts w:ascii="Times New Roman" w:hAnsi="Times New Roman" w:cs="Times New Roman"/>
        </w:rPr>
      </w:pPr>
    </w:p>
    <w:p w14:paraId="0529423F" w14:textId="77777777" w:rsidR="0037598A" w:rsidRPr="0037598A" w:rsidRDefault="0037598A" w:rsidP="0037598A">
      <w:pPr>
        <w:spacing w:after="0" w:line="240" w:lineRule="auto"/>
        <w:rPr>
          <w:rFonts w:ascii="Times New Roman" w:hAnsi="Times New Roman" w:cs="Times New Roman"/>
        </w:rPr>
      </w:pPr>
    </w:p>
    <w:p w14:paraId="1ADF3020"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xml:space="preserve">§ 160A-148.  Powers and duties of manager. </w:t>
      </w:r>
    </w:p>
    <w:p w14:paraId="7F45E8CE" w14:textId="77777777" w:rsidR="0037598A" w:rsidRPr="0037598A" w:rsidRDefault="0037598A" w:rsidP="0037598A">
      <w:pPr>
        <w:spacing w:after="0" w:line="240" w:lineRule="auto"/>
        <w:rPr>
          <w:rFonts w:ascii="Times New Roman" w:hAnsi="Times New Roman" w:cs="Times New Roman"/>
        </w:rPr>
      </w:pPr>
    </w:p>
    <w:p w14:paraId="380114FB"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 xml:space="preserve">(a) The manager shall be the chief administrator of the city. The manager shall be responsible to the council for administering all municipal affairs placed in the manager's charge by the council, and shall have the following powers and duties: </w:t>
      </w:r>
    </w:p>
    <w:p w14:paraId="1C8EBBA0" w14:textId="77777777" w:rsidR="0037598A" w:rsidRPr="0037598A" w:rsidRDefault="0037598A" w:rsidP="0037598A">
      <w:pPr>
        <w:spacing w:after="0" w:line="240" w:lineRule="auto"/>
        <w:ind w:left="720"/>
        <w:rPr>
          <w:rFonts w:ascii="Times New Roman" w:hAnsi="Times New Roman" w:cs="Times New Roman"/>
        </w:rPr>
      </w:pPr>
    </w:p>
    <w:p w14:paraId="2AC0A5D2" w14:textId="77777777" w:rsidR="0037598A" w:rsidRPr="0037598A" w:rsidRDefault="0037598A" w:rsidP="0037598A">
      <w:pPr>
        <w:spacing w:after="0" w:line="240" w:lineRule="auto"/>
        <w:ind w:left="720"/>
        <w:rPr>
          <w:rFonts w:ascii="Times New Roman" w:hAnsi="Times New Roman" w:cs="Times New Roman"/>
        </w:rPr>
      </w:pPr>
      <w:r w:rsidRPr="0037598A">
        <w:rPr>
          <w:rFonts w:ascii="Times New Roman" w:hAnsi="Times New Roman" w:cs="Times New Roman"/>
        </w:rPr>
        <w:t xml:space="preserve">(1) He </w:t>
      </w:r>
      <w:r w:rsidRPr="0037598A">
        <w:rPr>
          <w:rFonts w:ascii="Times New Roman" w:hAnsi="Times New Roman" w:cs="Times New Roman"/>
          <w:b/>
          <w:bCs/>
        </w:rPr>
        <w:t>shall appoint and suspend or remove all city officers and employees</w:t>
      </w:r>
      <w:r w:rsidRPr="0037598A">
        <w:rPr>
          <w:rFonts w:ascii="Times New Roman" w:hAnsi="Times New Roman" w:cs="Times New Roman"/>
        </w:rPr>
        <w:t xml:space="preserve"> not elected by the people, and whose appointment or removal is not otherwise provided for by law, except the city attorney, in accordance with such general personnel rules, regulations, policies, or ordinances as the council may adopt.</w:t>
      </w:r>
    </w:p>
    <w:p w14:paraId="3BA621B6" w14:textId="77777777" w:rsidR="0037598A" w:rsidRPr="0037598A" w:rsidRDefault="0037598A" w:rsidP="0037598A">
      <w:pPr>
        <w:spacing w:after="0" w:line="240" w:lineRule="auto"/>
        <w:rPr>
          <w:rFonts w:ascii="Times New Roman" w:hAnsi="Times New Roman" w:cs="Times New Roman"/>
        </w:rPr>
      </w:pPr>
    </w:p>
    <w:p w14:paraId="6F681456" w14:textId="77777777" w:rsidR="0037598A" w:rsidRPr="0037598A" w:rsidRDefault="0037598A" w:rsidP="0037598A">
      <w:pPr>
        <w:spacing w:after="0" w:line="240" w:lineRule="auto"/>
        <w:rPr>
          <w:rFonts w:ascii="Times New Roman" w:hAnsi="Times New Roman" w:cs="Times New Roman"/>
        </w:rPr>
      </w:pPr>
    </w:p>
    <w:p w14:paraId="06E1238D" w14:textId="77777777" w:rsidR="0037598A" w:rsidRPr="0037598A" w:rsidRDefault="0037598A" w:rsidP="0037598A">
      <w:pPr>
        <w:spacing w:after="0" w:line="240" w:lineRule="auto"/>
        <w:jc w:val="center"/>
        <w:rPr>
          <w:rFonts w:ascii="Times New Roman" w:hAnsi="Times New Roman" w:cs="Times New Roman"/>
          <w:sz w:val="28"/>
          <w:szCs w:val="28"/>
          <w:u w:val="single"/>
        </w:rPr>
      </w:pPr>
      <w:r w:rsidRPr="0037598A">
        <w:rPr>
          <w:rFonts w:ascii="Times New Roman" w:hAnsi="Times New Roman" w:cs="Times New Roman"/>
          <w:sz w:val="28"/>
          <w:szCs w:val="28"/>
          <w:u w:val="single"/>
        </w:rPr>
        <w:t>Cities without Managers</w:t>
      </w:r>
    </w:p>
    <w:p w14:paraId="061D98E4" w14:textId="77777777" w:rsidR="0037598A" w:rsidRPr="0037598A" w:rsidRDefault="0037598A" w:rsidP="0037598A">
      <w:pPr>
        <w:spacing w:after="0" w:line="240" w:lineRule="auto"/>
        <w:rPr>
          <w:rFonts w:ascii="Times New Roman" w:hAnsi="Times New Roman" w:cs="Times New Roman"/>
          <w:u w:val="single"/>
        </w:rPr>
      </w:pPr>
    </w:p>
    <w:p w14:paraId="387F0CF0" w14:textId="77777777" w:rsidR="0037598A" w:rsidRPr="0037598A" w:rsidRDefault="0037598A" w:rsidP="0037598A">
      <w:pPr>
        <w:spacing w:after="0" w:line="240" w:lineRule="auto"/>
        <w:rPr>
          <w:rFonts w:ascii="Times New Roman" w:hAnsi="Times New Roman" w:cs="Times New Roman"/>
          <w:u w:val="single"/>
        </w:rPr>
      </w:pPr>
    </w:p>
    <w:p w14:paraId="7D20302C"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xml:space="preserve">§ 160A-155.  Council to provide for administration in mayor-council cities. </w:t>
      </w:r>
    </w:p>
    <w:p w14:paraId="56E4F1C8" w14:textId="77777777" w:rsidR="0037598A" w:rsidRPr="0037598A" w:rsidRDefault="0037598A" w:rsidP="0037598A">
      <w:pPr>
        <w:spacing w:after="0" w:line="240" w:lineRule="auto"/>
        <w:rPr>
          <w:rFonts w:ascii="Times New Roman" w:hAnsi="Times New Roman" w:cs="Times New Roman"/>
        </w:rPr>
      </w:pPr>
    </w:p>
    <w:p w14:paraId="281C71C8"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b/>
          <w:bCs/>
        </w:rPr>
        <w:t>The council shall appoint, suspend, and remove the heads of all city departments, and all other city employees;</w:t>
      </w:r>
      <w:r w:rsidRPr="0037598A">
        <w:rPr>
          <w:rFonts w:ascii="Times New Roman" w:hAnsi="Times New Roman" w:cs="Times New Roman"/>
        </w:rPr>
        <w:t xml:space="preserve"> provided, the council may delegate to any administrative official or department head the power to appoint, suspend, and remove city employees assigned to his department. The head of each department shall see that all laws of the State, the city charter, and the ordinances, resolutions, and regulations of the council concerning his department are faithfully executed within the city. Otherwise, the administration of the city shall be performed as provided by law or direction of the council.</w:t>
      </w:r>
    </w:p>
    <w:p w14:paraId="6645BD40" w14:textId="77777777" w:rsidR="0037598A" w:rsidRPr="0037598A" w:rsidRDefault="0037598A" w:rsidP="0037598A">
      <w:pPr>
        <w:spacing w:after="0" w:line="240" w:lineRule="auto"/>
        <w:rPr>
          <w:rFonts w:ascii="Times New Roman" w:hAnsi="Times New Roman" w:cs="Times New Roman"/>
        </w:rPr>
      </w:pPr>
    </w:p>
    <w:p w14:paraId="1C7A37EA" w14:textId="77777777" w:rsidR="0037598A" w:rsidRPr="0037598A" w:rsidRDefault="0037598A" w:rsidP="0037598A">
      <w:pPr>
        <w:spacing w:after="0" w:line="240" w:lineRule="auto"/>
        <w:rPr>
          <w:rFonts w:ascii="Times New Roman" w:hAnsi="Times New Roman" w:cs="Times New Roman"/>
        </w:rPr>
      </w:pPr>
    </w:p>
    <w:p w14:paraId="17BFC28F"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xml:space="preserve">§ 160A-158.  Mayor and councilmen ineligible to serve or act as heads of departments. </w:t>
      </w:r>
    </w:p>
    <w:p w14:paraId="3297A46B" w14:textId="77777777" w:rsidR="0037598A" w:rsidRPr="0037598A" w:rsidRDefault="0037598A" w:rsidP="0037598A">
      <w:pPr>
        <w:spacing w:after="0" w:line="240" w:lineRule="auto"/>
        <w:rPr>
          <w:rFonts w:ascii="Times New Roman" w:hAnsi="Times New Roman" w:cs="Times New Roman"/>
        </w:rPr>
      </w:pPr>
    </w:p>
    <w:p w14:paraId="7E8B66BF"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Neither the mayor nor any member of the council shall be eligible for appointment as head of any city department or as acting or interim head of a department; provided, that in cities having a population of less than 5,000 according to the most recent official federal census, the mayor and any member of the council shall be eligible for appointment by the council as department head or other employee, and may receive reasonable compensation for such employment, notwithstanding any other provision of law.</w:t>
      </w:r>
    </w:p>
    <w:p w14:paraId="44F1B156" w14:textId="77777777" w:rsidR="0037598A" w:rsidRPr="0037598A" w:rsidRDefault="0037598A" w:rsidP="0037598A">
      <w:pPr>
        <w:spacing w:after="0" w:line="240" w:lineRule="auto"/>
        <w:rPr>
          <w:rFonts w:ascii="Times New Roman" w:hAnsi="Times New Roman" w:cs="Times New Roman"/>
        </w:rPr>
      </w:pPr>
    </w:p>
    <w:p w14:paraId="072D0524" w14:textId="77777777" w:rsidR="0037598A" w:rsidRPr="0037598A" w:rsidRDefault="0037598A" w:rsidP="0037598A">
      <w:pPr>
        <w:spacing w:after="0" w:line="240" w:lineRule="auto"/>
        <w:rPr>
          <w:rFonts w:ascii="Times New Roman" w:hAnsi="Times New Roman" w:cs="Times New Roman"/>
        </w:rPr>
      </w:pPr>
    </w:p>
    <w:p w14:paraId="652AE1D6"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b/>
          <w:bCs/>
        </w:rPr>
        <w:t>§ 160A-165.  Personnel board</w:t>
      </w:r>
      <w:r w:rsidRPr="0037598A">
        <w:rPr>
          <w:rFonts w:ascii="Times New Roman" w:hAnsi="Times New Roman" w:cs="Times New Roman"/>
        </w:rPr>
        <w:t xml:space="preserve">. </w:t>
      </w:r>
    </w:p>
    <w:p w14:paraId="3926AB94" w14:textId="77777777" w:rsidR="0037598A" w:rsidRPr="0037598A" w:rsidRDefault="0037598A" w:rsidP="0037598A">
      <w:pPr>
        <w:spacing w:after="0" w:line="240" w:lineRule="auto"/>
        <w:rPr>
          <w:rFonts w:ascii="Times New Roman" w:hAnsi="Times New Roman" w:cs="Times New Roman"/>
        </w:rPr>
      </w:pPr>
    </w:p>
    <w:p w14:paraId="1B9128A1"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The council may establish a personnel board with authority to administer tests designed to determine the merit and fitness of candidates for appointment or promotion, to conduct hearings upon the appeal of employees who have been suspended, demoted, or discharged, and hear employee grievances.</w:t>
      </w:r>
    </w:p>
    <w:p w14:paraId="2AD0767E" w14:textId="77777777" w:rsidR="0037598A" w:rsidRPr="0037598A" w:rsidRDefault="0037598A" w:rsidP="0037598A">
      <w:pPr>
        <w:spacing w:after="0" w:line="240" w:lineRule="auto"/>
        <w:rPr>
          <w:rFonts w:ascii="Times New Roman" w:hAnsi="Times New Roman" w:cs="Times New Roman"/>
        </w:rPr>
      </w:pPr>
    </w:p>
    <w:p w14:paraId="1A5E76A0" w14:textId="77777777" w:rsidR="0037598A" w:rsidRPr="0037598A" w:rsidRDefault="0037598A" w:rsidP="0037598A">
      <w:pPr>
        <w:spacing w:after="0" w:line="240" w:lineRule="auto"/>
        <w:rPr>
          <w:rFonts w:ascii="Times New Roman" w:hAnsi="Times New Roman" w:cs="Times New Roman"/>
        </w:rPr>
      </w:pPr>
    </w:p>
    <w:p w14:paraId="34F98A1A" w14:textId="77777777" w:rsidR="0037598A" w:rsidRPr="0037598A" w:rsidRDefault="0037598A" w:rsidP="0037598A">
      <w:pPr>
        <w:spacing w:after="0" w:line="240" w:lineRule="auto"/>
        <w:jc w:val="center"/>
        <w:rPr>
          <w:rFonts w:ascii="Times New Roman" w:hAnsi="Times New Roman" w:cs="Times New Roman"/>
          <w:sz w:val="28"/>
          <w:szCs w:val="28"/>
          <w:u w:val="single"/>
        </w:rPr>
      </w:pPr>
      <w:r w:rsidRPr="0037598A">
        <w:rPr>
          <w:rFonts w:ascii="Times New Roman" w:hAnsi="Times New Roman" w:cs="Times New Roman"/>
          <w:sz w:val="28"/>
          <w:szCs w:val="28"/>
          <w:u w:val="single"/>
        </w:rPr>
        <w:t>All Cities</w:t>
      </w:r>
    </w:p>
    <w:p w14:paraId="6433E734" w14:textId="77777777" w:rsidR="0037598A" w:rsidRPr="0037598A" w:rsidRDefault="0037598A" w:rsidP="0037598A">
      <w:pPr>
        <w:spacing w:after="0" w:line="240" w:lineRule="auto"/>
        <w:rPr>
          <w:rFonts w:ascii="Times New Roman" w:hAnsi="Times New Roman" w:cs="Times New Roman"/>
        </w:rPr>
      </w:pPr>
    </w:p>
    <w:p w14:paraId="363994FA" w14:textId="77777777" w:rsidR="0037598A" w:rsidRPr="0037598A" w:rsidRDefault="0037598A" w:rsidP="0037598A">
      <w:pPr>
        <w:spacing w:after="0" w:line="240" w:lineRule="auto"/>
        <w:rPr>
          <w:rFonts w:ascii="Times New Roman" w:hAnsi="Times New Roman" w:cs="Times New Roman"/>
        </w:rPr>
      </w:pPr>
    </w:p>
    <w:p w14:paraId="5A15018D"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xml:space="preserve">§ 160A-171.  City clerk; duties. </w:t>
      </w:r>
    </w:p>
    <w:p w14:paraId="72E96A0B" w14:textId="77777777" w:rsidR="0037598A" w:rsidRPr="0037598A" w:rsidRDefault="0037598A" w:rsidP="0037598A">
      <w:pPr>
        <w:spacing w:after="0" w:line="240" w:lineRule="auto"/>
        <w:rPr>
          <w:rFonts w:ascii="Times New Roman" w:hAnsi="Times New Roman" w:cs="Times New Roman"/>
        </w:rPr>
      </w:pPr>
    </w:p>
    <w:p w14:paraId="7F961071"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b/>
          <w:bCs/>
        </w:rPr>
        <w:t>There shall be a city clerk</w:t>
      </w:r>
      <w:r w:rsidRPr="0037598A">
        <w:rPr>
          <w:rFonts w:ascii="Times New Roman" w:hAnsi="Times New Roman" w:cs="Times New Roman"/>
        </w:rPr>
        <w:t xml:space="preserve"> who shall give notice of meetings of the council, keep a journal of the proceedings of the council, be the custodian of all city records, and shall perform any other duties that may be required by law or the council.</w:t>
      </w:r>
    </w:p>
    <w:p w14:paraId="3B01C759" w14:textId="77777777" w:rsidR="0037598A" w:rsidRPr="0037598A" w:rsidRDefault="0037598A" w:rsidP="0037598A">
      <w:pPr>
        <w:spacing w:after="0" w:line="240" w:lineRule="auto"/>
        <w:rPr>
          <w:rFonts w:ascii="Times New Roman" w:hAnsi="Times New Roman" w:cs="Times New Roman"/>
        </w:rPr>
      </w:pPr>
    </w:p>
    <w:p w14:paraId="4E496464" w14:textId="77777777" w:rsidR="0037598A" w:rsidRPr="0037598A" w:rsidRDefault="0037598A" w:rsidP="0037598A">
      <w:pPr>
        <w:spacing w:after="0" w:line="240" w:lineRule="auto"/>
        <w:rPr>
          <w:rFonts w:ascii="Times New Roman" w:hAnsi="Times New Roman" w:cs="Times New Roman"/>
        </w:rPr>
      </w:pPr>
    </w:p>
    <w:p w14:paraId="709D3FF8"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xml:space="preserve">§ 160A-172.  Deputy clerk. </w:t>
      </w:r>
    </w:p>
    <w:p w14:paraId="5BABFFA8" w14:textId="77777777" w:rsidR="0037598A" w:rsidRPr="0037598A" w:rsidRDefault="0037598A" w:rsidP="0037598A">
      <w:pPr>
        <w:spacing w:after="0" w:line="240" w:lineRule="auto"/>
        <w:rPr>
          <w:rFonts w:ascii="Times New Roman" w:hAnsi="Times New Roman" w:cs="Times New Roman"/>
        </w:rPr>
      </w:pPr>
    </w:p>
    <w:p w14:paraId="707BC5E4"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The council may provide for a deputy city clerk who shall have full authority to exercise and perform any of the powers and duties of the city clerk that may be specified by the council.</w:t>
      </w:r>
    </w:p>
    <w:p w14:paraId="5763B151" w14:textId="77777777" w:rsidR="0037598A" w:rsidRPr="0037598A" w:rsidRDefault="0037598A" w:rsidP="0037598A">
      <w:pPr>
        <w:spacing w:after="0" w:line="240" w:lineRule="auto"/>
        <w:rPr>
          <w:rFonts w:ascii="Times New Roman" w:hAnsi="Times New Roman" w:cs="Times New Roman"/>
        </w:rPr>
      </w:pPr>
    </w:p>
    <w:p w14:paraId="26964313" w14:textId="77777777" w:rsidR="0037598A" w:rsidRPr="0037598A" w:rsidRDefault="0037598A" w:rsidP="0037598A">
      <w:pPr>
        <w:spacing w:after="0" w:line="240" w:lineRule="auto"/>
        <w:rPr>
          <w:rFonts w:ascii="Times New Roman" w:hAnsi="Times New Roman" w:cs="Times New Roman"/>
        </w:rPr>
      </w:pPr>
    </w:p>
    <w:p w14:paraId="6D97F0CA"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xml:space="preserve">§ 160A-173.  City attorney; appointment and duties. </w:t>
      </w:r>
    </w:p>
    <w:p w14:paraId="78FD5AC2" w14:textId="77777777" w:rsidR="0037598A" w:rsidRPr="0037598A" w:rsidRDefault="0037598A" w:rsidP="0037598A">
      <w:pPr>
        <w:spacing w:after="0" w:line="240" w:lineRule="auto"/>
        <w:rPr>
          <w:rFonts w:ascii="Times New Roman" w:hAnsi="Times New Roman" w:cs="Times New Roman"/>
        </w:rPr>
      </w:pPr>
    </w:p>
    <w:p w14:paraId="2A8FBB8A"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b/>
          <w:bCs/>
        </w:rPr>
        <w:t>The council shall appoint a city attorney to serve at its pleasure</w:t>
      </w:r>
      <w:r w:rsidRPr="0037598A">
        <w:rPr>
          <w:rFonts w:ascii="Times New Roman" w:hAnsi="Times New Roman" w:cs="Times New Roman"/>
        </w:rPr>
        <w:t xml:space="preserve"> and to be its legal adviser.</w:t>
      </w:r>
    </w:p>
    <w:p w14:paraId="671A68BC" w14:textId="77777777" w:rsidR="0037598A" w:rsidRPr="0037598A" w:rsidRDefault="0037598A" w:rsidP="0037598A">
      <w:pPr>
        <w:spacing w:after="0" w:line="240" w:lineRule="auto"/>
        <w:rPr>
          <w:rFonts w:ascii="Times New Roman" w:hAnsi="Times New Roman" w:cs="Times New Roman"/>
        </w:rPr>
      </w:pPr>
    </w:p>
    <w:p w14:paraId="7B30D8B3" w14:textId="77777777" w:rsidR="0037598A" w:rsidRPr="0037598A" w:rsidRDefault="0037598A" w:rsidP="0037598A">
      <w:pPr>
        <w:spacing w:after="0" w:line="240" w:lineRule="auto"/>
        <w:rPr>
          <w:rFonts w:ascii="Times New Roman" w:hAnsi="Times New Roman" w:cs="Times New Roman"/>
        </w:rPr>
      </w:pPr>
    </w:p>
    <w:p w14:paraId="1BF63427"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br w:type="page"/>
      </w:r>
    </w:p>
    <w:p w14:paraId="4F3B9003"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lastRenderedPageBreak/>
        <w:t xml:space="preserve">§ 105-349.  Appointment, term, qualifications, and bond of tax collectors and deputies. </w:t>
      </w:r>
    </w:p>
    <w:p w14:paraId="3B10A6BF" w14:textId="77777777" w:rsidR="0037598A" w:rsidRPr="0037598A" w:rsidRDefault="0037598A" w:rsidP="0037598A">
      <w:pPr>
        <w:spacing w:after="0" w:line="240" w:lineRule="auto"/>
        <w:rPr>
          <w:rFonts w:ascii="Times New Roman" w:hAnsi="Times New Roman" w:cs="Times New Roman"/>
        </w:rPr>
      </w:pPr>
    </w:p>
    <w:p w14:paraId="08D9B732"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 xml:space="preserve">(a) Appointment and Term. – </w:t>
      </w:r>
      <w:r w:rsidRPr="0037598A">
        <w:rPr>
          <w:rFonts w:ascii="Times New Roman" w:hAnsi="Times New Roman" w:cs="Times New Roman"/>
          <w:b/>
          <w:bCs/>
        </w:rPr>
        <w:t>The governing body of each county and municipality shall appoint a tax collector on or before July 1, 1971, to serve for a term</w:t>
      </w:r>
      <w:r w:rsidRPr="0037598A">
        <w:rPr>
          <w:rFonts w:ascii="Times New Roman" w:hAnsi="Times New Roman" w:cs="Times New Roman"/>
        </w:rPr>
        <w:t xml:space="preserve"> to be determined by the appointing body and until his successor has been appointed and qualified. Until the first such appointments are made, county and municipal taxes shall be collected by the tax collectors presently serving under prior provisions of law. </w:t>
      </w:r>
      <w:r w:rsidRPr="0037598A">
        <w:rPr>
          <w:rFonts w:ascii="Times New Roman" w:hAnsi="Times New Roman" w:cs="Times New Roman"/>
          <w:b/>
          <w:bCs/>
        </w:rPr>
        <w:t>The governing body may remove the tax collector from office during his term for good cause</w:t>
      </w:r>
      <w:r w:rsidRPr="0037598A">
        <w:rPr>
          <w:rFonts w:ascii="Times New Roman" w:hAnsi="Times New Roman" w:cs="Times New Roman"/>
        </w:rPr>
        <w:t xml:space="preserve"> after giving him notice in writing and an opportunity to appear and be heard at a public session of the governing body.</w:t>
      </w:r>
    </w:p>
    <w:p w14:paraId="2355A96C" w14:textId="77777777" w:rsidR="0037598A" w:rsidRPr="0037598A" w:rsidRDefault="0037598A" w:rsidP="0037598A">
      <w:pPr>
        <w:spacing w:after="0" w:line="240" w:lineRule="auto"/>
        <w:rPr>
          <w:rFonts w:ascii="Times New Roman" w:hAnsi="Times New Roman" w:cs="Times New Roman"/>
        </w:rPr>
      </w:pPr>
    </w:p>
    <w:p w14:paraId="285146D0" w14:textId="77777777" w:rsidR="0037598A" w:rsidRPr="0037598A" w:rsidRDefault="0037598A" w:rsidP="0037598A">
      <w:pPr>
        <w:spacing w:after="0" w:line="240" w:lineRule="auto"/>
        <w:rPr>
          <w:rFonts w:ascii="Times New Roman" w:hAnsi="Times New Roman" w:cs="Times New Roman"/>
        </w:rPr>
      </w:pPr>
    </w:p>
    <w:p w14:paraId="51166457"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xml:space="preserve">§ 160A-281.  Policemen appointed. </w:t>
      </w:r>
    </w:p>
    <w:p w14:paraId="63144215" w14:textId="77777777" w:rsidR="0037598A" w:rsidRPr="0037598A" w:rsidRDefault="0037598A" w:rsidP="0037598A">
      <w:pPr>
        <w:spacing w:after="0" w:line="240" w:lineRule="auto"/>
        <w:rPr>
          <w:rFonts w:ascii="Times New Roman" w:hAnsi="Times New Roman" w:cs="Times New Roman"/>
          <w:b/>
          <w:bCs/>
        </w:rPr>
      </w:pPr>
    </w:p>
    <w:p w14:paraId="1B380FB9"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A city is authorized to appoint a chief of police and to employ other police officers who may reside outside the corporate limits of the city unless the council provides otherwise.</w:t>
      </w:r>
    </w:p>
    <w:p w14:paraId="50BFFBDB" w14:textId="77777777" w:rsidR="0037598A" w:rsidRPr="0037598A" w:rsidRDefault="0037598A" w:rsidP="0037598A">
      <w:pPr>
        <w:spacing w:after="0" w:line="240" w:lineRule="auto"/>
        <w:rPr>
          <w:rFonts w:ascii="Times New Roman" w:hAnsi="Times New Roman" w:cs="Times New Roman"/>
        </w:rPr>
      </w:pPr>
    </w:p>
    <w:p w14:paraId="702DDD9E" w14:textId="77777777" w:rsidR="0037598A" w:rsidRPr="0037598A" w:rsidRDefault="0037598A" w:rsidP="0037598A">
      <w:pPr>
        <w:spacing w:after="0" w:line="240" w:lineRule="auto"/>
        <w:rPr>
          <w:rFonts w:ascii="Times New Roman" w:hAnsi="Times New Roman" w:cs="Times New Roman"/>
        </w:rPr>
      </w:pPr>
    </w:p>
    <w:p w14:paraId="2A9BE72B"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xml:space="preserve">§ 160A-291.  Firemen appointed. </w:t>
      </w:r>
    </w:p>
    <w:p w14:paraId="3A001E55" w14:textId="77777777" w:rsidR="0037598A" w:rsidRPr="0037598A" w:rsidRDefault="0037598A" w:rsidP="0037598A">
      <w:pPr>
        <w:spacing w:after="0" w:line="240" w:lineRule="auto"/>
        <w:rPr>
          <w:rFonts w:ascii="Times New Roman" w:hAnsi="Times New Roman" w:cs="Times New Roman"/>
        </w:rPr>
      </w:pPr>
    </w:p>
    <w:p w14:paraId="3198882F"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A city is authorized to appoint a fire chief; to employ other firemen; to establish, organize, equip, and maintain a fire department; and to prescribe the duties of the fire department.</w:t>
      </w:r>
    </w:p>
    <w:p w14:paraId="43AD3CBB" w14:textId="77777777" w:rsidR="0037598A" w:rsidRPr="0037598A" w:rsidRDefault="0037598A" w:rsidP="0037598A">
      <w:pPr>
        <w:spacing w:after="0" w:line="240" w:lineRule="auto"/>
        <w:rPr>
          <w:rFonts w:ascii="Times New Roman" w:hAnsi="Times New Roman" w:cs="Times New Roman"/>
        </w:rPr>
      </w:pPr>
    </w:p>
    <w:p w14:paraId="67FF9A9D" w14:textId="77777777" w:rsidR="0037598A" w:rsidRPr="0037598A" w:rsidRDefault="0037598A" w:rsidP="0037598A">
      <w:pPr>
        <w:spacing w:after="0" w:line="240" w:lineRule="auto"/>
        <w:rPr>
          <w:rFonts w:ascii="Times New Roman" w:hAnsi="Times New Roman" w:cs="Times New Roman"/>
        </w:rPr>
      </w:pPr>
    </w:p>
    <w:p w14:paraId="53DB5A37" w14:textId="77777777" w:rsidR="0037598A" w:rsidRPr="0037598A" w:rsidRDefault="0037598A" w:rsidP="0037598A">
      <w:pPr>
        <w:spacing w:after="0" w:line="240" w:lineRule="auto"/>
        <w:jc w:val="center"/>
        <w:rPr>
          <w:rFonts w:ascii="Times New Roman" w:hAnsi="Times New Roman" w:cs="Times New Roman"/>
          <w:b/>
          <w:bCs/>
          <w:sz w:val="32"/>
          <w:szCs w:val="32"/>
        </w:rPr>
      </w:pPr>
      <w:r w:rsidRPr="0037598A">
        <w:rPr>
          <w:rFonts w:ascii="Times New Roman" w:hAnsi="Times New Roman" w:cs="Times New Roman"/>
          <w:b/>
          <w:bCs/>
          <w:sz w:val="32"/>
          <w:szCs w:val="32"/>
        </w:rPr>
        <w:t>Counties</w:t>
      </w:r>
    </w:p>
    <w:p w14:paraId="2120E060" w14:textId="77777777" w:rsidR="0037598A" w:rsidRPr="0037598A" w:rsidRDefault="0037598A" w:rsidP="0037598A">
      <w:pPr>
        <w:spacing w:after="0" w:line="240" w:lineRule="auto"/>
        <w:rPr>
          <w:rFonts w:ascii="Times New Roman" w:hAnsi="Times New Roman" w:cs="Times New Roman"/>
        </w:rPr>
      </w:pPr>
    </w:p>
    <w:p w14:paraId="054C880A" w14:textId="77777777" w:rsidR="0037598A" w:rsidRPr="0037598A" w:rsidRDefault="0037598A" w:rsidP="0037598A">
      <w:pPr>
        <w:spacing w:after="0" w:line="240" w:lineRule="auto"/>
        <w:rPr>
          <w:rFonts w:ascii="Times New Roman" w:hAnsi="Times New Roman" w:cs="Times New Roman"/>
        </w:rPr>
      </w:pPr>
    </w:p>
    <w:p w14:paraId="640B8DD8" w14:textId="77777777" w:rsidR="0037598A" w:rsidRPr="0037598A" w:rsidRDefault="0037598A" w:rsidP="0037598A">
      <w:pPr>
        <w:spacing w:after="0" w:line="240" w:lineRule="auto"/>
        <w:jc w:val="center"/>
        <w:rPr>
          <w:rFonts w:ascii="Times New Roman" w:hAnsi="Times New Roman" w:cs="Times New Roman"/>
          <w:sz w:val="28"/>
          <w:szCs w:val="28"/>
          <w:u w:val="single"/>
        </w:rPr>
      </w:pPr>
      <w:r w:rsidRPr="0037598A">
        <w:rPr>
          <w:rFonts w:ascii="Times New Roman" w:hAnsi="Times New Roman" w:cs="Times New Roman"/>
          <w:sz w:val="28"/>
          <w:szCs w:val="28"/>
          <w:u w:val="single"/>
        </w:rPr>
        <w:t>Counties with Managers</w:t>
      </w:r>
    </w:p>
    <w:p w14:paraId="2A4D89BC" w14:textId="77777777" w:rsidR="0037598A" w:rsidRPr="0037598A" w:rsidRDefault="0037598A" w:rsidP="0037598A">
      <w:pPr>
        <w:spacing w:after="0" w:line="240" w:lineRule="auto"/>
        <w:jc w:val="center"/>
        <w:rPr>
          <w:rFonts w:ascii="Times New Roman" w:hAnsi="Times New Roman" w:cs="Times New Roman"/>
          <w:sz w:val="28"/>
          <w:szCs w:val="28"/>
        </w:rPr>
      </w:pPr>
      <w:r w:rsidRPr="0037598A">
        <w:rPr>
          <w:rFonts w:ascii="Times New Roman" w:hAnsi="Times New Roman" w:cs="Times New Roman"/>
          <w:sz w:val="28"/>
          <w:szCs w:val="28"/>
        </w:rPr>
        <w:t>That is, All Counties</w:t>
      </w:r>
    </w:p>
    <w:p w14:paraId="7BA9CB35" w14:textId="77777777" w:rsidR="0037598A" w:rsidRPr="0037598A" w:rsidRDefault="0037598A" w:rsidP="0037598A">
      <w:pPr>
        <w:spacing w:after="0" w:line="240" w:lineRule="auto"/>
        <w:jc w:val="center"/>
        <w:rPr>
          <w:rFonts w:ascii="Times New Roman" w:hAnsi="Times New Roman" w:cs="Times New Roman"/>
        </w:rPr>
      </w:pPr>
    </w:p>
    <w:p w14:paraId="3BE5AF42" w14:textId="77777777" w:rsidR="0037598A" w:rsidRPr="0037598A" w:rsidRDefault="0037598A" w:rsidP="0037598A">
      <w:pPr>
        <w:spacing w:after="0" w:line="240" w:lineRule="auto"/>
        <w:jc w:val="center"/>
        <w:rPr>
          <w:rFonts w:ascii="Times New Roman" w:hAnsi="Times New Roman" w:cs="Times New Roman"/>
        </w:rPr>
      </w:pPr>
    </w:p>
    <w:p w14:paraId="75814C51"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153A-81.  Adoption of county-manager plan; appointment or designation of manager.</w:t>
      </w:r>
    </w:p>
    <w:p w14:paraId="7C59BB5B" w14:textId="77777777" w:rsidR="0037598A" w:rsidRPr="0037598A" w:rsidRDefault="0037598A" w:rsidP="0037598A">
      <w:pPr>
        <w:spacing w:after="0" w:line="240" w:lineRule="auto"/>
        <w:rPr>
          <w:rFonts w:ascii="Times New Roman" w:hAnsi="Times New Roman" w:cs="Times New Roman"/>
          <w:b/>
          <w:bCs/>
        </w:rPr>
      </w:pPr>
    </w:p>
    <w:p w14:paraId="19757CAF"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 xml:space="preserve">The board of commissioners may by resolution adopt or discontinue the county-manager plan. If it adopts the county-manager plan, the board may, in the alternative: </w:t>
      </w:r>
    </w:p>
    <w:p w14:paraId="4B3D0B55" w14:textId="77777777" w:rsidR="0037598A" w:rsidRPr="0037598A" w:rsidRDefault="0037598A" w:rsidP="0037598A">
      <w:pPr>
        <w:spacing w:after="0" w:line="240" w:lineRule="auto"/>
        <w:ind w:left="720"/>
        <w:rPr>
          <w:rFonts w:ascii="Times New Roman" w:hAnsi="Times New Roman" w:cs="Times New Roman"/>
        </w:rPr>
      </w:pPr>
    </w:p>
    <w:p w14:paraId="7FE899D6" w14:textId="77777777" w:rsidR="0037598A" w:rsidRPr="0037598A" w:rsidRDefault="0037598A" w:rsidP="0037598A">
      <w:pPr>
        <w:spacing w:after="0" w:line="240" w:lineRule="auto"/>
        <w:ind w:left="720"/>
        <w:rPr>
          <w:rFonts w:ascii="Times New Roman" w:hAnsi="Times New Roman" w:cs="Times New Roman"/>
        </w:rPr>
      </w:pPr>
      <w:r w:rsidRPr="0037598A">
        <w:rPr>
          <w:rFonts w:ascii="Times New Roman" w:hAnsi="Times New Roman" w:cs="Times New Roman"/>
        </w:rPr>
        <w:t xml:space="preserve">(1) </w:t>
      </w:r>
      <w:r w:rsidRPr="0037598A">
        <w:rPr>
          <w:rFonts w:ascii="Times New Roman" w:hAnsi="Times New Roman" w:cs="Times New Roman"/>
          <w:b/>
          <w:bCs/>
        </w:rPr>
        <w:t>Appoint a county manager to serve at its pleasure</w:t>
      </w:r>
      <w:r w:rsidRPr="0037598A">
        <w:rPr>
          <w:rFonts w:ascii="Times New Roman" w:hAnsi="Times New Roman" w:cs="Times New Roman"/>
        </w:rPr>
        <w:t xml:space="preserve">. The manager shall be appointed solely on the basis of his executive and administrative qualifications. He need not be a resident of the county or the State at the time of his appointment. </w:t>
      </w:r>
    </w:p>
    <w:p w14:paraId="19629E68" w14:textId="77777777" w:rsidR="0037598A" w:rsidRPr="0037598A" w:rsidRDefault="0037598A" w:rsidP="0037598A">
      <w:pPr>
        <w:spacing w:after="0" w:line="240" w:lineRule="auto"/>
        <w:ind w:left="720"/>
        <w:rPr>
          <w:rFonts w:ascii="Times New Roman" w:hAnsi="Times New Roman" w:cs="Times New Roman"/>
        </w:rPr>
      </w:pPr>
      <w:r w:rsidRPr="0037598A">
        <w:rPr>
          <w:rFonts w:ascii="Times New Roman" w:hAnsi="Times New Roman" w:cs="Times New Roman"/>
        </w:rPr>
        <w:t xml:space="preserve">(2) Confer upon the chairman or some other member of the board of commissioners the duties of county manager. If this is done, the chairman or member shall become a full-time county official, and the board may increase his salary pursuant to G.S. 153A-28. </w:t>
      </w:r>
    </w:p>
    <w:p w14:paraId="7763B267" w14:textId="77777777" w:rsidR="0037598A" w:rsidRPr="0037598A" w:rsidRDefault="0037598A" w:rsidP="0037598A">
      <w:pPr>
        <w:spacing w:after="0" w:line="240" w:lineRule="auto"/>
        <w:ind w:left="720"/>
        <w:rPr>
          <w:rFonts w:ascii="Times New Roman" w:hAnsi="Times New Roman" w:cs="Times New Roman"/>
        </w:rPr>
      </w:pPr>
      <w:r w:rsidRPr="0037598A">
        <w:rPr>
          <w:rFonts w:ascii="Times New Roman" w:hAnsi="Times New Roman" w:cs="Times New Roman"/>
        </w:rPr>
        <w:t>(3) Confer upon any other officer, employee, or agent of the county the duties of county manager. As used in this Part, the word "manager" includes the chairman or any member of the board of commissioners exercising the duties of manager or any officer, employee, or agent of a county exercising the duties of manager.</w:t>
      </w:r>
    </w:p>
    <w:p w14:paraId="46C00337" w14:textId="77777777" w:rsidR="0037598A" w:rsidRPr="0037598A" w:rsidRDefault="0037598A" w:rsidP="0037598A">
      <w:pPr>
        <w:spacing w:after="0" w:line="240" w:lineRule="auto"/>
        <w:rPr>
          <w:rFonts w:ascii="Times New Roman" w:hAnsi="Times New Roman" w:cs="Times New Roman"/>
        </w:rPr>
      </w:pPr>
    </w:p>
    <w:p w14:paraId="4F48411A" w14:textId="77777777" w:rsidR="0037598A" w:rsidRPr="0037598A" w:rsidRDefault="0037598A" w:rsidP="0037598A">
      <w:pPr>
        <w:spacing w:after="0" w:line="240" w:lineRule="auto"/>
        <w:rPr>
          <w:rFonts w:ascii="Times New Roman" w:hAnsi="Times New Roman" w:cs="Times New Roman"/>
        </w:rPr>
      </w:pPr>
    </w:p>
    <w:p w14:paraId="21F66068"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w:t>
      </w:r>
      <w:r w:rsidRPr="0037598A">
        <w:rPr>
          <w:rFonts w:ascii="Times New Roman" w:hAnsi="Times New Roman" w:cs="Times New Roman"/>
          <w:b/>
          <w:bCs/>
        </w:rPr>
        <w:t xml:space="preserve"> 153A-82.  Powers and duties of manager. </w:t>
      </w:r>
    </w:p>
    <w:p w14:paraId="03DD4715" w14:textId="77777777" w:rsidR="0037598A" w:rsidRPr="0037598A" w:rsidRDefault="0037598A" w:rsidP="0037598A">
      <w:pPr>
        <w:spacing w:after="0" w:line="240" w:lineRule="auto"/>
        <w:rPr>
          <w:rFonts w:ascii="Times New Roman" w:hAnsi="Times New Roman" w:cs="Times New Roman"/>
        </w:rPr>
      </w:pPr>
    </w:p>
    <w:p w14:paraId="5AFCA72D"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 xml:space="preserve">(a) The manager is the chief administrator of county government. The manager is responsible to the board of commissioners for the administration of all departments of county government under the board's general control and has the following powers and duties: </w:t>
      </w:r>
    </w:p>
    <w:p w14:paraId="29A64C2E" w14:textId="77777777" w:rsidR="0037598A" w:rsidRPr="0037598A" w:rsidRDefault="0037598A" w:rsidP="0037598A">
      <w:pPr>
        <w:spacing w:after="0" w:line="240" w:lineRule="auto"/>
        <w:ind w:left="720"/>
        <w:rPr>
          <w:rFonts w:ascii="Times New Roman" w:hAnsi="Times New Roman" w:cs="Times New Roman"/>
        </w:rPr>
      </w:pPr>
    </w:p>
    <w:p w14:paraId="6BC54A96" w14:textId="77777777" w:rsidR="0037598A" w:rsidRPr="0037598A" w:rsidRDefault="0037598A" w:rsidP="0037598A">
      <w:pPr>
        <w:spacing w:after="0" w:line="240" w:lineRule="auto"/>
        <w:ind w:left="720"/>
        <w:rPr>
          <w:rFonts w:ascii="Times New Roman" w:hAnsi="Times New Roman" w:cs="Times New Roman"/>
        </w:rPr>
      </w:pPr>
      <w:r w:rsidRPr="0037598A">
        <w:rPr>
          <w:rFonts w:ascii="Times New Roman" w:hAnsi="Times New Roman" w:cs="Times New Roman"/>
        </w:rPr>
        <w:t xml:space="preserve">(1) </w:t>
      </w:r>
      <w:r w:rsidRPr="0037598A">
        <w:rPr>
          <w:rFonts w:ascii="Times New Roman" w:hAnsi="Times New Roman" w:cs="Times New Roman"/>
          <w:b/>
          <w:bCs/>
        </w:rPr>
        <w:t>He shall appoint with the approval of the board of commissioners and suspend or remove all county officers, employees</w:t>
      </w:r>
      <w:r w:rsidRPr="0037598A">
        <w:rPr>
          <w:rFonts w:ascii="Times New Roman" w:hAnsi="Times New Roman" w:cs="Times New Roman"/>
        </w:rPr>
        <w:t>, and agents except those who are elected by the people or whose appointment is otherwise provided for by law. The board may by resolution permit the manager to appoint officers, employees, and agents without first securing the board's approval. The manager shall make his appointments, suspensions, and removals in accordance with any general personnel rules, regulations, policies, or ordinances that the board may adopt. The board may require the manager to report each suspension or removal to the board at the board's first regular meeting following the suspension or removal; and, if the board has permitted the manager to make appointments without board approval, the board may require the manager to report each appointment to the board at the board's first regular meeting following the appointment.</w:t>
      </w:r>
    </w:p>
    <w:p w14:paraId="0ACB6072" w14:textId="77777777" w:rsidR="0037598A" w:rsidRPr="0037598A" w:rsidRDefault="0037598A" w:rsidP="0037598A">
      <w:pPr>
        <w:spacing w:after="0" w:line="240" w:lineRule="auto"/>
        <w:rPr>
          <w:rFonts w:ascii="Times New Roman" w:hAnsi="Times New Roman" w:cs="Times New Roman"/>
        </w:rPr>
      </w:pPr>
    </w:p>
    <w:p w14:paraId="373FA3F2" w14:textId="77777777" w:rsidR="0037598A" w:rsidRPr="0037598A" w:rsidRDefault="0037598A" w:rsidP="0037598A">
      <w:pPr>
        <w:spacing w:after="0" w:line="240" w:lineRule="auto"/>
        <w:rPr>
          <w:rFonts w:ascii="Times New Roman" w:hAnsi="Times New Roman" w:cs="Times New Roman"/>
        </w:rPr>
      </w:pPr>
    </w:p>
    <w:p w14:paraId="1F814D0A"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xml:space="preserve">§ 153A-95.  Personnel board. </w:t>
      </w:r>
    </w:p>
    <w:p w14:paraId="3E752F1B" w14:textId="77777777" w:rsidR="0037598A" w:rsidRPr="0037598A" w:rsidRDefault="0037598A" w:rsidP="0037598A">
      <w:pPr>
        <w:spacing w:after="0" w:line="240" w:lineRule="auto"/>
        <w:rPr>
          <w:rFonts w:ascii="Times New Roman" w:hAnsi="Times New Roman" w:cs="Times New Roman"/>
        </w:rPr>
      </w:pPr>
    </w:p>
    <w:p w14:paraId="309CFAAC"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The board of commissioners may establish a personnel board with authority, as regards employees in offices, departments, boards, commissions, and agencies under the general control of the board of commissioners, to administer tests designed to determine the merit and fitness of candidates for appointment or promotion, to conduct hearings upon the appeal of employees who have been suspended, demoted, or discharged, to hear employee grievances, or to undertake any other duties relating to personnel administration that the board of commissioners may direct.</w:t>
      </w:r>
    </w:p>
    <w:p w14:paraId="1149667D" w14:textId="77777777" w:rsidR="0037598A" w:rsidRPr="0037598A" w:rsidRDefault="0037598A" w:rsidP="0037598A">
      <w:pPr>
        <w:spacing w:after="0" w:line="240" w:lineRule="auto"/>
        <w:rPr>
          <w:rFonts w:ascii="Times New Roman" w:hAnsi="Times New Roman" w:cs="Times New Roman"/>
        </w:rPr>
      </w:pPr>
    </w:p>
    <w:p w14:paraId="47ED8042" w14:textId="77777777" w:rsidR="0037598A" w:rsidRPr="0037598A" w:rsidRDefault="0037598A" w:rsidP="0037598A">
      <w:pPr>
        <w:spacing w:after="0" w:line="240" w:lineRule="auto"/>
        <w:rPr>
          <w:rFonts w:ascii="Times New Roman" w:hAnsi="Times New Roman" w:cs="Times New Roman"/>
        </w:rPr>
      </w:pPr>
    </w:p>
    <w:p w14:paraId="7D5E3C50"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xml:space="preserve">§ 153A-103.  Number of employees in offices of sheriff and register of deeds.  </w:t>
      </w:r>
    </w:p>
    <w:p w14:paraId="233CCF30" w14:textId="77777777" w:rsidR="0037598A" w:rsidRPr="0037598A" w:rsidRDefault="0037598A" w:rsidP="0037598A">
      <w:pPr>
        <w:spacing w:after="0" w:line="240" w:lineRule="auto"/>
        <w:rPr>
          <w:rFonts w:ascii="Times New Roman" w:hAnsi="Times New Roman" w:cs="Times New Roman"/>
        </w:rPr>
      </w:pPr>
    </w:p>
    <w:p w14:paraId="6EE51D4E"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 xml:space="preserve">Subject to the limitations set forth below, the board of commissioners may fix the number of salaried employees in the offices of the sheriff and the register of deeds. In exercising the authority granted by this section, the board of commissioners is subject to the following limitations: </w:t>
      </w:r>
    </w:p>
    <w:p w14:paraId="66A2345E" w14:textId="77777777" w:rsidR="0037598A" w:rsidRPr="0037598A" w:rsidRDefault="0037598A" w:rsidP="0037598A">
      <w:pPr>
        <w:spacing w:after="0" w:line="240" w:lineRule="auto"/>
        <w:rPr>
          <w:rFonts w:ascii="Times New Roman" w:hAnsi="Times New Roman" w:cs="Times New Roman"/>
        </w:rPr>
      </w:pPr>
    </w:p>
    <w:p w14:paraId="77BFDDE0" w14:textId="77777777" w:rsidR="0037598A" w:rsidRPr="0037598A" w:rsidRDefault="0037598A" w:rsidP="0037598A">
      <w:pPr>
        <w:spacing w:after="0" w:line="240" w:lineRule="auto"/>
        <w:ind w:left="720"/>
        <w:rPr>
          <w:rFonts w:ascii="Times New Roman" w:hAnsi="Times New Roman" w:cs="Times New Roman"/>
        </w:rPr>
      </w:pPr>
      <w:r w:rsidRPr="0037598A">
        <w:rPr>
          <w:rFonts w:ascii="Times New Roman" w:hAnsi="Times New Roman" w:cs="Times New Roman"/>
        </w:rPr>
        <w:t xml:space="preserve">(1) </w:t>
      </w:r>
      <w:r w:rsidRPr="0037598A">
        <w:rPr>
          <w:rFonts w:ascii="Times New Roman" w:hAnsi="Times New Roman" w:cs="Times New Roman"/>
          <w:b/>
          <w:bCs/>
        </w:rPr>
        <w:t>Each sheriff and register of deeds elected by the people has the exclusive right to hire, discharge, and supervise the employees in his office</w:t>
      </w:r>
      <w:r w:rsidRPr="0037598A">
        <w:rPr>
          <w:rFonts w:ascii="Times New Roman" w:hAnsi="Times New Roman" w:cs="Times New Roman"/>
        </w:rPr>
        <w:t xml:space="preserve">. However, the board of commissioners must approve the appointment by such an officer of a relative by blood or marriage of nearer kinship than first cousin or of a person who has been convicted of a crime involving moral turpitude. </w:t>
      </w:r>
    </w:p>
    <w:p w14:paraId="16AFD184" w14:textId="77777777" w:rsidR="0037598A" w:rsidRPr="0037598A" w:rsidRDefault="0037598A" w:rsidP="0037598A">
      <w:pPr>
        <w:spacing w:after="0" w:line="240" w:lineRule="auto"/>
        <w:ind w:left="720"/>
        <w:rPr>
          <w:rFonts w:ascii="Times New Roman" w:hAnsi="Times New Roman" w:cs="Times New Roman"/>
        </w:rPr>
      </w:pPr>
      <w:r w:rsidRPr="0037598A">
        <w:rPr>
          <w:rFonts w:ascii="Times New Roman" w:hAnsi="Times New Roman" w:cs="Times New Roman"/>
        </w:rPr>
        <w:t xml:space="preserve">(2) Each sheriff and register of deeds elected by the people is entitled to at least two deputies who shall be reasonably compensated by the county, provided that the register of deeds justifies to the Board of County Commissioners the necessity of the second deputy.  Each deputy so appointed shall serve at the pleasure of the appointing officer. </w:t>
      </w:r>
      <w:r w:rsidRPr="0037598A">
        <w:rPr>
          <w:rFonts w:ascii="Times New Roman" w:hAnsi="Times New Roman" w:cs="Times New Roman"/>
        </w:rPr>
        <w:lastRenderedPageBreak/>
        <w:t>Notwithstanding the foregoing provisions of this section, approval of the board of commissioners is not required for the reappointment or continued employment of a near relative of a sheriff or register of deeds who was not related to the appointing officer at the time of initial appointment.</w:t>
      </w:r>
    </w:p>
    <w:p w14:paraId="7205613C" w14:textId="77777777" w:rsidR="0037598A" w:rsidRPr="0037598A" w:rsidRDefault="0037598A" w:rsidP="0037598A">
      <w:pPr>
        <w:spacing w:after="0" w:line="240" w:lineRule="auto"/>
        <w:rPr>
          <w:rFonts w:ascii="Times New Roman" w:hAnsi="Times New Roman" w:cs="Times New Roman"/>
        </w:rPr>
      </w:pPr>
    </w:p>
    <w:p w14:paraId="5370220C" w14:textId="77777777" w:rsidR="0037598A" w:rsidRPr="0037598A" w:rsidRDefault="0037598A" w:rsidP="0037598A">
      <w:pPr>
        <w:spacing w:after="0" w:line="240" w:lineRule="auto"/>
        <w:rPr>
          <w:rFonts w:ascii="Times New Roman" w:hAnsi="Times New Roman" w:cs="Times New Roman"/>
        </w:rPr>
      </w:pPr>
    </w:p>
    <w:p w14:paraId="0FD70BE4"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xml:space="preserve">§ 153A-111.  Appointment; powers and duties. </w:t>
      </w:r>
    </w:p>
    <w:p w14:paraId="47EFE206" w14:textId="77777777" w:rsidR="0037598A" w:rsidRPr="0037598A" w:rsidRDefault="0037598A" w:rsidP="0037598A">
      <w:pPr>
        <w:spacing w:after="0" w:line="240" w:lineRule="auto"/>
        <w:rPr>
          <w:rFonts w:ascii="Times New Roman" w:hAnsi="Times New Roman" w:cs="Times New Roman"/>
          <w:b/>
          <w:bCs/>
        </w:rPr>
      </w:pPr>
    </w:p>
    <w:p w14:paraId="58BEE2DC"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b/>
          <w:bCs/>
        </w:rPr>
        <w:t>The board of commissioners shall appoint or designate a clerk to the board</w:t>
      </w:r>
      <w:r w:rsidRPr="0037598A">
        <w:rPr>
          <w:rFonts w:ascii="Times New Roman" w:hAnsi="Times New Roman" w:cs="Times New Roman"/>
        </w:rPr>
        <w:t>. The board may designate the register of deeds or any other county officer or employee as clerk. The clerk shall perform any duties that may be required by law or the board of commissioners. The clerk shall serve as such at the pleasure of the board.</w:t>
      </w:r>
    </w:p>
    <w:p w14:paraId="2E11F43B" w14:textId="77777777" w:rsidR="0037598A" w:rsidRPr="0037598A" w:rsidRDefault="0037598A" w:rsidP="0037598A">
      <w:pPr>
        <w:spacing w:after="0" w:line="240" w:lineRule="auto"/>
        <w:rPr>
          <w:rFonts w:ascii="Times New Roman" w:hAnsi="Times New Roman" w:cs="Times New Roman"/>
        </w:rPr>
      </w:pPr>
    </w:p>
    <w:p w14:paraId="01D33AE7" w14:textId="77777777" w:rsidR="0037598A" w:rsidRPr="0037598A" w:rsidRDefault="0037598A" w:rsidP="0037598A">
      <w:pPr>
        <w:spacing w:after="0" w:line="240" w:lineRule="auto"/>
        <w:rPr>
          <w:rFonts w:ascii="Times New Roman" w:hAnsi="Times New Roman" w:cs="Times New Roman"/>
        </w:rPr>
      </w:pPr>
    </w:p>
    <w:p w14:paraId="1F875DA0"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xml:space="preserve">§ 153A-114.  Appointment; duties. </w:t>
      </w:r>
    </w:p>
    <w:p w14:paraId="271F9553" w14:textId="77777777" w:rsidR="0037598A" w:rsidRPr="0037598A" w:rsidRDefault="0037598A" w:rsidP="0037598A">
      <w:pPr>
        <w:spacing w:after="0" w:line="240" w:lineRule="auto"/>
        <w:rPr>
          <w:rFonts w:ascii="Times New Roman" w:hAnsi="Times New Roman" w:cs="Times New Roman"/>
        </w:rPr>
      </w:pPr>
    </w:p>
    <w:p w14:paraId="01B0659A"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b/>
          <w:bCs/>
        </w:rPr>
        <w:t>The board of commissioners shall appoint a county attorney to serve at its pleasure</w:t>
      </w:r>
      <w:r w:rsidRPr="0037598A">
        <w:rPr>
          <w:rFonts w:ascii="Times New Roman" w:hAnsi="Times New Roman" w:cs="Times New Roman"/>
        </w:rPr>
        <w:t xml:space="preserve"> and to be its legal adviser.</w:t>
      </w:r>
    </w:p>
    <w:p w14:paraId="67366D41" w14:textId="77777777" w:rsidR="0037598A" w:rsidRPr="0037598A" w:rsidRDefault="0037598A" w:rsidP="0037598A">
      <w:pPr>
        <w:spacing w:after="0" w:line="240" w:lineRule="auto"/>
        <w:rPr>
          <w:rFonts w:ascii="Times New Roman" w:hAnsi="Times New Roman" w:cs="Times New Roman"/>
        </w:rPr>
      </w:pPr>
    </w:p>
    <w:p w14:paraId="2E0A4C2E" w14:textId="77777777" w:rsidR="0037598A" w:rsidRPr="0037598A" w:rsidRDefault="0037598A" w:rsidP="0037598A">
      <w:pPr>
        <w:spacing w:after="0" w:line="240" w:lineRule="auto"/>
        <w:rPr>
          <w:rFonts w:ascii="Times New Roman" w:hAnsi="Times New Roman" w:cs="Times New Roman"/>
        </w:rPr>
      </w:pPr>
    </w:p>
    <w:p w14:paraId="5C194AF7"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b/>
          <w:bCs/>
        </w:rPr>
        <w:t>§ 163-33.  Powers and duties of county boards of elections</w:t>
      </w:r>
      <w:r w:rsidRPr="0037598A">
        <w:rPr>
          <w:rFonts w:ascii="Times New Roman" w:hAnsi="Times New Roman" w:cs="Times New Roman"/>
        </w:rPr>
        <w:t xml:space="preserve">. </w:t>
      </w:r>
    </w:p>
    <w:p w14:paraId="515DBFCB" w14:textId="77777777" w:rsidR="0037598A" w:rsidRPr="0037598A" w:rsidRDefault="0037598A" w:rsidP="0037598A">
      <w:pPr>
        <w:spacing w:after="0" w:line="240" w:lineRule="auto"/>
        <w:rPr>
          <w:rFonts w:ascii="Times New Roman" w:hAnsi="Times New Roman" w:cs="Times New Roman"/>
        </w:rPr>
      </w:pPr>
    </w:p>
    <w:p w14:paraId="1493B553"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 xml:space="preserve">The county boards of elections within their respective jurisdictions shall exercise all powers granted to such boards in this Chapter, and they shall perform all the duties imposed upon them by law, which shall include the following: . . . </w:t>
      </w:r>
    </w:p>
    <w:p w14:paraId="019FFE2F" w14:textId="77777777" w:rsidR="0037598A" w:rsidRPr="0037598A" w:rsidRDefault="0037598A" w:rsidP="0037598A">
      <w:pPr>
        <w:spacing w:after="0" w:line="240" w:lineRule="auto"/>
        <w:rPr>
          <w:rFonts w:ascii="Times New Roman" w:hAnsi="Times New Roman" w:cs="Times New Roman"/>
        </w:rPr>
      </w:pPr>
    </w:p>
    <w:p w14:paraId="71E6FA0F" w14:textId="77777777" w:rsidR="0037598A" w:rsidRPr="0037598A" w:rsidRDefault="0037598A" w:rsidP="0037598A">
      <w:pPr>
        <w:spacing w:after="0" w:line="240" w:lineRule="auto"/>
        <w:ind w:firstLine="720"/>
        <w:rPr>
          <w:rFonts w:ascii="Times New Roman" w:hAnsi="Times New Roman" w:cs="Times New Roman"/>
        </w:rPr>
      </w:pPr>
      <w:r w:rsidRPr="0037598A">
        <w:rPr>
          <w:rFonts w:ascii="Times New Roman" w:hAnsi="Times New Roman" w:cs="Times New Roman"/>
        </w:rPr>
        <w:t xml:space="preserve">(10) </w:t>
      </w:r>
      <w:r w:rsidRPr="0037598A">
        <w:rPr>
          <w:rFonts w:ascii="Times New Roman" w:hAnsi="Times New Roman" w:cs="Times New Roman"/>
          <w:b/>
          <w:bCs/>
        </w:rPr>
        <w:t>To appoint and remove the board's clerk, assistant clerks, and other employees</w:t>
      </w:r>
    </w:p>
    <w:p w14:paraId="4513F900" w14:textId="77777777" w:rsidR="0037598A" w:rsidRPr="0037598A" w:rsidRDefault="0037598A" w:rsidP="0037598A">
      <w:pPr>
        <w:spacing w:after="0" w:line="240" w:lineRule="auto"/>
        <w:rPr>
          <w:rFonts w:ascii="Times New Roman" w:hAnsi="Times New Roman" w:cs="Times New Roman"/>
        </w:rPr>
      </w:pPr>
    </w:p>
    <w:p w14:paraId="2A445B6E" w14:textId="77777777" w:rsidR="0037598A" w:rsidRPr="0037598A" w:rsidRDefault="0037598A" w:rsidP="0037598A">
      <w:pPr>
        <w:spacing w:after="0" w:line="240" w:lineRule="auto"/>
        <w:rPr>
          <w:rFonts w:ascii="Times New Roman" w:hAnsi="Times New Roman" w:cs="Times New Roman"/>
        </w:rPr>
      </w:pPr>
    </w:p>
    <w:p w14:paraId="1B744A0E"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xml:space="preserve">§ 153A-234.  Fire marshal. </w:t>
      </w:r>
    </w:p>
    <w:p w14:paraId="5749AC50" w14:textId="77777777" w:rsidR="0037598A" w:rsidRPr="0037598A" w:rsidRDefault="0037598A" w:rsidP="0037598A">
      <w:pPr>
        <w:spacing w:after="0" w:line="240" w:lineRule="auto"/>
        <w:rPr>
          <w:rFonts w:ascii="Times New Roman" w:hAnsi="Times New Roman" w:cs="Times New Roman"/>
        </w:rPr>
      </w:pPr>
    </w:p>
    <w:p w14:paraId="40645FDD"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(a) A county may appoint a fire marshal and employ persons as his assistants.</w:t>
      </w:r>
    </w:p>
    <w:p w14:paraId="65BE8337" w14:textId="77777777" w:rsidR="0037598A" w:rsidRPr="0037598A" w:rsidRDefault="0037598A" w:rsidP="0037598A">
      <w:pPr>
        <w:spacing w:after="0" w:line="240" w:lineRule="auto"/>
        <w:rPr>
          <w:rFonts w:ascii="Times New Roman" w:hAnsi="Times New Roman" w:cs="Times New Roman"/>
        </w:rPr>
      </w:pPr>
    </w:p>
    <w:p w14:paraId="58BCBE54" w14:textId="77777777" w:rsidR="0037598A" w:rsidRPr="0037598A" w:rsidRDefault="0037598A" w:rsidP="0037598A">
      <w:pPr>
        <w:spacing w:after="0" w:line="240" w:lineRule="auto"/>
        <w:rPr>
          <w:rFonts w:ascii="Times New Roman" w:hAnsi="Times New Roman" w:cs="Times New Roman"/>
        </w:rPr>
      </w:pPr>
    </w:p>
    <w:p w14:paraId="5BDE8530"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xml:space="preserve">§ 105-294.  County assessor. </w:t>
      </w:r>
    </w:p>
    <w:p w14:paraId="02A87921" w14:textId="77777777" w:rsidR="0037598A" w:rsidRPr="0037598A" w:rsidRDefault="0037598A" w:rsidP="0037598A">
      <w:pPr>
        <w:spacing w:after="0" w:line="240" w:lineRule="auto"/>
        <w:rPr>
          <w:rFonts w:ascii="Times New Roman" w:hAnsi="Times New Roman" w:cs="Times New Roman"/>
        </w:rPr>
      </w:pPr>
    </w:p>
    <w:p w14:paraId="143B8FAD"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 xml:space="preserve">(a) Appointment. . . . </w:t>
      </w:r>
      <w:r w:rsidRPr="0037598A">
        <w:rPr>
          <w:rFonts w:ascii="Times New Roman" w:hAnsi="Times New Roman" w:cs="Times New Roman"/>
          <w:b/>
          <w:bCs/>
        </w:rPr>
        <w:t>[T]he board of county commissioners of each county shall appoint a county assessor to serve a term of not less than two nor more than four years</w:t>
      </w:r>
      <w:r w:rsidRPr="0037598A">
        <w:rPr>
          <w:rFonts w:ascii="Times New Roman" w:hAnsi="Times New Roman" w:cs="Times New Roman"/>
        </w:rPr>
        <w:t>; provided, however, that no person shall be eligible for initial appointment to a term of more than two years unless such person is deemed to be qualified as provided in subsection (b) of this section or has been certified by the Department of Revenue as provided in subsection (c) of this section. The board of commissioners may remove the assessor from office during his term for good cause after giving him notice in writing and an opportunity to appear and be heard at a public session of the board.</w:t>
      </w:r>
    </w:p>
    <w:p w14:paraId="4C03AB87" w14:textId="77777777" w:rsidR="0037598A" w:rsidRPr="0037598A" w:rsidRDefault="0037598A" w:rsidP="0037598A">
      <w:pPr>
        <w:spacing w:after="0" w:line="240" w:lineRule="auto"/>
        <w:rPr>
          <w:rFonts w:ascii="Times New Roman" w:hAnsi="Times New Roman" w:cs="Times New Roman"/>
        </w:rPr>
      </w:pPr>
    </w:p>
    <w:p w14:paraId="43D8360E" w14:textId="77777777" w:rsidR="0037598A" w:rsidRPr="0037598A" w:rsidRDefault="0037598A" w:rsidP="0037598A">
      <w:pPr>
        <w:spacing w:after="0" w:line="240" w:lineRule="auto"/>
        <w:rPr>
          <w:rFonts w:ascii="Times New Roman" w:hAnsi="Times New Roman" w:cs="Times New Roman"/>
        </w:rPr>
      </w:pPr>
    </w:p>
    <w:p w14:paraId="589E9306"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lastRenderedPageBreak/>
        <w:t xml:space="preserve">§ 105-349.  Appointment, term, qualifications, and bond of tax collectors and deputies. </w:t>
      </w:r>
    </w:p>
    <w:p w14:paraId="567B2226" w14:textId="77777777" w:rsidR="0037598A" w:rsidRPr="0037598A" w:rsidRDefault="0037598A" w:rsidP="0037598A">
      <w:pPr>
        <w:spacing w:after="0" w:line="240" w:lineRule="auto"/>
        <w:rPr>
          <w:rFonts w:ascii="Times New Roman" w:hAnsi="Times New Roman" w:cs="Times New Roman"/>
        </w:rPr>
      </w:pPr>
    </w:p>
    <w:p w14:paraId="4CD9E4E5"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 xml:space="preserve">(a) Appointment and Term. – </w:t>
      </w:r>
      <w:r w:rsidRPr="0037598A">
        <w:rPr>
          <w:rFonts w:ascii="Times New Roman" w:hAnsi="Times New Roman" w:cs="Times New Roman"/>
          <w:b/>
          <w:bCs/>
        </w:rPr>
        <w:t>The governing body of each county and municipality shall appoint a tax collector on or before July 1, 1971, to serve for a term</w:t>
      </w:r>
      <w:r w:rsidRPr="0037598A">
        <w:rPr>
          <w:rFonts w:ascii="Times New Roman" w:hAnsi="Times New Roman" w:cs="Times New Roman"/>
        </w:rPr>
        <w:t xml:space="preserve"> to be determined by the appointing body and until his successor has been appointed and qualified. Until the first such appointments are made, county and municipal taxes shall be collected by the tax collectors presently serving under prior provisions of law. The governing body may remove the tax collector from office during his term for good cause after giving him notice in writing and an opportunity to appear and be heard at a public session of the governing body.</w:t>
      </w:r>
    </w:p>
    <w:p w14:paraId="5E2EFDE8" w14:textId="77777777" w:rsidR="0037598A" w:rsidRPr="0037598A" w:rsidRDefault="0037598A" w:rsidP="0037598A">
      <w:pPr>
        <w:spacing w:after="0" w:line="240" w:lineRule="auto"/>
        <w:rPr>
          <w:rFonts w:ascii="Times New Roman" w:hAnsi="Times New Roman" w:cs="Times New Roman"/>
        </w:rPr>
      </w:pPr>
    </w:p>
    <w:p w14:paraId="4BCF8985" w14:textId="77777777" w:rsidR="0037598A" w:rsidRPr="0037598A" w:rsidRDefault="0037598A" w:rsidP="0037598A">
      <w:pPr>
        <w:spacing w:after="0" w:line="240" w:lineRule="auto"/>
        <w:rPr>
          <w:rFonts w:ascii="Times New Roman" w:hAnsi="Times New Roman" w:cs="Times New Roman"/>
        </w:rPr>
      </w:pPr>
    </w:p>
    <w:p w14:paraId="73DB7DCB" w14:textId="77777777" w:rsidR="0037598A" w:rsidRPr="0037598A" w:rsidRDefault="0037598A" w:rsidP="0037598A">
      <w:pPr>
        <w:spacing w:after="0" w:line="240" w:lineRule="auto"/>
        <w:jc w:val="center"/>
        <w:rPr>
          <w:rFonts w:ascii="Times New Roman" w:hAnsi="Times New Roman" w:cs="Times New Roman"/>
          <w:sz w:val="28"/>
          <w:szCs w:val="28"/>
          <w:u w:val="single"/>
        </w:rPr>
      </w:pPr>
      <w:r w:rsidRPr="0037598A">
        <w:rPr>
          <w:rFonts w:ascii="Times New Roman" w:hAnsi="Times New Roman" w:cs="Times New Roman"/>
          <w:sz w:val="28"/>
          <w:szCs w:val="28"/>
          <w:u w:val="single"/>
        </w:rPr>
        <w:t>Theoretical:  Counties without Managers</w:t>
      </w:r>
    </w:p>
    <w:p w14:paraId="4675C3B7" w14:textId="77777777" w:rsidR="0037598A" w:rsidRPr="0037598A" w:rsidRDefault="0037598A" w:rsidP="0037598A">
      <w:pPr>
        <w:spacing w:after="0" w:line="240" w:lineRule="auto"/>
        <w:jc w:val="center"/>
        <w:rPr>
          <w:rFonts w:ascii="Times New Roman" w:hAnsi="Times New Roman" w:cs="Times New Roman"/>
          <w:sz w:val="28"/>
          <w:szCs w:val="28"/>
        </w:rPr>
      </w:pPr>
      <w:r w:rsidRPr="0037598A">
        <w:rPr>
          <w:rFonts w:ascii="Times New Roman" w:hAnsi="Times New Roman" w:cs="Times New Roman"/>
          <w:sz w:val="28"/>
          <w:szCs w:val="28"/>
        </w:rPr>
        <w:t>(Caution:  There are none.  All 100 counties have managers)</w:t>
      </w:r>
    </w:p>
    <w:p w14:paraId="2EE21DC5" w14:textId="77777777" w:rsidR="0037598A" w:rsidRPr="0037598A" w:rsidRDefault="0037598A" w:rsidP="0037598A">
      <w:pPr>
        <w:spacing w:after="0" w:line="240" w:lineRule="auto"/>
        <w:jc w:val="center"/>
        <w:rPr>
          <w:rFonts w:ascii="Times New Roman" w:hAnsi="Times New Roman" w:cs="Times New Roman"/>
        </w:rPr>
      </w:pPr>
    </w:p>
    <w:p w14:paraId="339CE3B0" w14:textId="77777777" w:rsidR="0037598A" w:rsidRPr="0037598A" w:rsidRDefault="0037598A" w:rsidP="0037598A">
      <w:pPr>
        <w:spacing w:after="0" w:line="240" w:lineRule="auto"/>
        <w:rPr>
          <w:rFonts w:ascii="Times New Roman" w:hAnsi="Times New Roman" w:cs="Times New Roman"/>
        </w:rPr>
      </w:pPr>
    </w:p>
    <w:p w14:paraId="24D7979A"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xml:space="preserve">§ 153A-87.  Administration in counties not having managers. </w:t>
      </w:r>
    </w:p>
    <w:p w14:paraId="7DDFBF6A" w14:textId="77777777" w:rsidR="0037598A" w:rsidRPr="0037598A" w:rsidRDefault="0037598A" w:rsidP="0037598A">
      <w:pPr>
        <w:spacing w:after="0" w:line="240" w:lineRule="auto"/>
        <w:rPr>
          <w:rFonts w:ascii="Times New Roman" w:hAnsi="Times New Roman" w:cs="Times New Roman"/>
          <w:b/>
          <w:bCs/>
        </w:rPr>
      </w:pPr>
    </w:p>
    <w:p w14:paraId="0BBF48DC"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 xml:space="preserve">In a county that has not adopted or does not operate under the county-manager plan, </w:t>
      </w:r>
      <w:r w:rsidRPr="0037598A">
        <w:rPr>
          <w:rFonts w:ascii="Times New Roman" w:hAnsi="Times New Roman" w:cs="Times New Roman"/>
          <w:b/>
          <w:bCs/>
        </w:rPr>
        <w:t>the board of commissioners shall appoint, suspend, and remove all county officers, employees</w:t>
      </w:r>
      <w:r w:rsidRPr="0037598A">
        <w:rPr>
          <w:rFonts w:ascii="Times New Roman" w:hAnsi="Times New Roman" w:cs="Times New Roman"/>
        </w:rPr>
        <w:t>, and agents except those who are elected by the people or whose appointment is otherwise provided for by law. The board may delegate to the head of any county department the power to appoint, suspend, and remove county officers or employees assigned to his department.</w:t>
      </w:r>
    </w:p>
    <w:p w14:paraId="445AE36F" w14:textId="77777777" w:rsidR="0037598A" w:rsidRPr="0037598A" w:rsidRDefault="0037598A" w:rsidP="0037598A">
      <w:pPr>
        <w:spacing w:after="0" w:line="240" w:lineRule="auto"/>
        <w:rPr>
          <w:rFonts w:ascii="Times New Roman" w:hAnsi="Times New Roman" w:cs="Times New Roman"/>
        </w:rPr>
      </w:pPr>
    </w:p>
    <w:p w14:paraId="6DD3E60C" w14:textId="77777777" w:rsidR="0037598A" w:rsidRPr="0037598A" w:rsidRDefault="0037598A" w:rsidP="0037598A">
      <w:pPr>
        <w:spacing w:after="0" w:line="240" w:lineRule="auto"/>
        <w:rPr>
          <w:rFonts w:ascii="Times New Roman" w:hAnsi="Times New Roman" w:cs="Times New Roman"/>
        </w:rPr>
      </w:pPr>
    </w:p>
    <w:p w14:paraId="752D5A8F" w14:textId="77777777" w:rsidR="0037598A" w:rsidRPr="0037598A" w:rsidRDefault="0037598A" w:rsidP="0037598A">
      <w:pPr>
        <w:spacing w:after="0" w:line="240" w:lineRule="auto"/>
        <w:jc w:val="center"/>
        <w:rPr>
          <w:rFonts w:ascii="Times New Roman" w:hAnsi="Times New Roman" w:cs="Times New Roman"/>
          <w:sz w:val="28"/>
          <w:szCs w:val="28"/>
          <w:u w:val="single"/>
        </w:rPr>
      </w:pPr>
      <w:bookmarkStart w:id="0" w:name="_Hlk143678268"/>
      <w:r w:rsidRPr="0037598A">
        <w:rPr>
          <w:rFonts w:ascii="Times New Roman" w:hAnsi="Times New Roman" w:cs="Times New Roman"/>
          <w:sz w:val="28"/>
          <w:szCs w:val="28"/>
          <w:u w:val="single"/>
        </w:rPr>
        <w:t>Traditional Department of Social Services</w:t>
      </w:r>
    </w:p>
    <w:p w14:paraId="67F8180F" w14:textId="77777777" w:rsidR="0037598A" w:rsidRPr="0037598A" w:rsidRDefault="0037598A" w:rsidP="0037598A">
      <w:pPr>
        <w:spacing w:after="0" w:line="240" w:lineRule="auto"/>
        <w:rPr>
          <w:rFonts w:ascii="Times New Roman" w:hAnsi="Times New Roman" w:cs="Times New Roman"/>
          <w:u w:val="single"/>
        </w:rPr>
      </w:pPr>
    </w:p>
    <w:p w14:paraId="33BFD7E2" w14:textId="77777777" w:rsidR="0037598A" w:rsidRPr="0037598A" w:rsidRDefault="0037598A" w:rsidP="0037598A">
      <w:pPr>
        <w:spacing w:after="0" w:line="240" w:lineRule="auto"/>
        <w:rPr>
          <w:rFonts w:ascii="Times New Roman" w:hAnsi="Times New Roman" w:cs="Times New Roman"/>
          <w:u w:val="single"/>
        </w:rPr>
      </w:pPr>
    </w:p>
    <w:p w14:paraId="61C9CA2C"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xml:space="preserve">§ 108A-12.  Appointment. </w:t>
      </w:r>
    </w:p>
    <w:p w14:paraId="155DE85B" w14:textId="77777777" w:rsidR="0037598A" w:rsidRPr="0037598A" w:rsidRDefault="0037598A" w:rsidP="0037598A">
      <w:pPr>
        <w:spacing w:after="0" w:line="240" w:lineRule="auto"/>
        <w:rPr>
          <w:rFonts w:ascii="Times New Roman" w:hAnsi="Times New Roman" w:cs="Times New Roman"/>
          <w:b/>
          <w:bCs/>
        </w:rPr>
      </w:pPr>
    </w:p>
    <w:p w14:paraId="4EA7B3E3"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 xml:space="preserve">(a) The board of social services of every county </w:t>
      </w:r>
      <w:r w:rsidRPr="0037598A">
        <w:rPr>
          <w:rFonts w:ascii="Times New Roman" w:hAnsi="Times New Roman" w:cs="Times New Roman"/>
          <w:b/>
          <w:bCs/>
        </w:rPr>
        <w:t>shall appoint a director of social services in accordance with the merit system rules of the North Carolina Human Resources Commission. Any director dismissed by such board shall have the right of appeal under the same rules</w:t>
      </w:r>
      <w:r w:rsidRPr="0037598A">
        <w:rPr>
          <w:rFonts w:ascii="Times New Roman" w:hAnsi="Times New Roman" w:cs="Times New Roman"/>
        </w:rPr>
        <w:t>.</w:t>
      </w:r>
    </w:p>
    <w:p w14:paraId="12ACFA96" w14:textId="77777777" w:rsidR="0037598A" w:rsidRPr="0037598A" w:rsidRDefault="0037598A" w:rsidP="0037598A">
      <w:pPr>
        <w:spacing w:after="0" w:line="240" w:lineRule="auto"/>
        <w:rPr>
          <w:rFonts w:ascii="Times New Roman" w:hAnsi="Times New Roman" w:cs="Times New Roman"/>
        </w:rPr>
      </w:pPr>
    </w:p>
    <w:p w14:paraId="11160E48" w14:textId="77777777" w:rsidR="0037598A" w:rsidRPr="0037598A" w:rsidRDefault="0037598A" w:rsidP="0037598A">
      <w:pPr>
        <w:spacing w:after="0" w:line="240" w:lineRule="auto"/>
        <w:rPr>
          <w:rFonts w:ascii="Times New Roman" w:hAnsi="Times New Roman" w:cs="Times New Roman"/>
        </w:rPr>
      </w:pPr>
    </w:p>
    <w:p w14:paraId="162EA611"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xml:space="preserve">§ 108A-14.  Duties and responsibilities. </w:t>
      </w:r>
    </w:p>
    <w:p w14:paraId="16A59FB6" w14:textId="77777777" w:rsidR="0037598A" w:rsidRPr="0037598A" w:rsidRDefault="0037598A" w:rsidP="0037598A">
      <w:pPr>
        <w:spacing w:after="0" w:line="240" w:lineRule="auto"/>
        <w:rPr>
          <w:rFonts w:ascii="Times New Roman" w:hAnsi="Times New Roman" w:cs="Times New Roman"/>
        </w:rPr>
      </w:pPr>
    </w:p>
    <w:p w14:paraId="6AECD22C"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(a) The director of social services shall have the following duties and responsibilities: . . .</w:t>
      </w:r>
    </w:p>
    <w:p w14:paraId="1A47BFA6" w14:textId="77777777" w:rsidR="0037598A" w:rsidRPr="0037598A" w:rsidRDefault="0037598A" w:rsidP="0037598A">
      <w:pPr>
        <w:spacing w:after="0" w:line="240" w:lineRule="auto"/>
        <w:ind w:left="720"/>
        <w:rPr>
          <w:rFonts w:ascii="Times New Roman" w:hAnsi="Times New Roman" w:cs="Times New Roman"/>
        </w:rPr>
      </w:pPr>
    </w:p>
    <w:p w14:paraId="4D8FF8E1" w14:textId="77777777" w:rsidR="0037598A" w:rsidRPr="0037598A" w:rsidRDefault="0037598A" w:rsidP="0037598A">
      <w:pPr>
        <w:spacing w:after="0" w:line="240" w:lineRule="auto"/>
        <w:ind w:left="720"/>
        <w:rPr>
          <w:rFonts w:ascii="Times New Roman" w:hAnsi="Times New Roman" w:cs="Times New Roman"/>
        </w:rPr>
      </w:pPr>
      <w:r w:rsidRPr="0037598A">
        <w:rPr>
          <w:rFonts w:ascii="Times New Roman" w:hAnsi="Times New Roman" w:cs="Times New Roman"/>
        </w:rPr>
        <w:t xml:space="preserve">(2) </w:t>
      </w:r>
      <w:r w:rsidRPr="0037598A">
        <w:rPr>
          <w:rFonts w:ascii="Times New Roman" w:hAnsi="Times New Roman" w:cs="Times New Roman"/>
          <w:b/>
          <w:bCs/>
        </w:rPr>
        <w:t>To appoint necessary personnel</w:t>
      </w:r>
      <w:r w:rsidRPr="0037598A">
        <w:rPr>
          <w:rFonts w:ascii="Times New Roman" w:hAnsi="Times New Roman" w:cs="Times New Roman"/>
        </w:rPr>
        <w:t xml:space="preserve"> of the county department of social services in accordance with the merit system rules of the North Carolina Human Resources Commission</w:t>
      </w:r>
    </w:p>
    <w:p w14:paraId="274BA4B5" w14:textId="77777777" w:rsidR="0037598A" w:rsidRPr="0037598A" w:rsidRDefault="0037598A" w:rsidP="0037598A">
      <w:pPr>
        <w:spacing w:after="0" w:line="240" w:lineRule="auto"/>
        <w:rPr>
          <w:rFonts w:ascii="Times New Roman" w:hAnsi="Times New Roman" w:cs="Times New Roman"/>
        </w:rPr>
      </w:pPr>
    </w:p>
    <w:p w14:paraId="1BFA8CD9" w14:textId="77777777" w:rsidR="0037598A" w:rsidRPr="0037598A" w:rsidRDefault="0037598A" w:rsidP="0037598A">
      <w:pPr>
        <w:spacing w:after="0" w:line="240" w:lineRule="auto"/>
        <w:rPr>
          <w:rFonts w:ascii="Times New Roman" w:hAnsi="Times New Roman" w:cs="Times New Roman"/>
        </w:rPr>
      </w:pPr>
    </w:p>
    <w:p w14:paraId="75FA132E" w14:textId="77777777" w:rsidR="0037598A" w:rsidRPr="0037598A" w:rsidRDefault="0037598A" w:rsidP="0037598A">
      <w:pPr>
        <w:spacing w:after="0" w:line="240" w:lineRule="auto"/>
        <w:rPr>
          <w:rFonts w:ascii="Times New Roman" w:hAnsi="Times New Roman" w:cs="Times New Roman"/>
          <w:sz w:val="28"/>
          <w:szCs w:val="28"/>
          <w:u w:val="single"/>
        </w:rPr>
      </w:pPr>
      <w:r w:rsidRPr="0037598A">
        <w:rPr>
          <w:rFonts w:ascii="Times New Roman" w:hAnsi="Times New Roman" w:cs="Times New Roman"/>
          <w:sz w:val="28"/>
          <w:szCs w:val="28"/>
          <w:u w:val="single"/>
        </w:rPr>
        <w:br w:type="page"/>
      </w:r>
    </w:p>
    <w:p w14:paraId="15BECE50" w14:textId="77777777" w:rsidR="0037598A" w:rsidRPr="0037598A" w:rsidRDefault="0037598A" w:rsidP="0037598A">
      <w:pPr>
        <w:spacing w:after="0" w:line="240" w:lineRule="auto"/>
        <w:jc w:val="center"/>
        <w:rPr>
          <w:rFonts w:ascii="Times New Roman" w:hAnsi="Times New Roman" w:cs="Times New Roman"/>
          <w:sz w:val="28"/>
          <w:szCs w:val="28"/>
          <w:u w:val="single"/>
        </w:rPr>
      </w:pPr>
      <w:r w:rsidRPr="0037598A">
        <w:rPr>
          <w:rFonts w:ascii="Times New Roman" w:hAnsi="Times New Roman" w:cs="Times New Roman"/>
          <w:sz w:val="28"/>
          <w:szCs w:val="28"/>
          <w:u w:val="single"/>
        </w:rPr>
        <w:lastRenderedPageBreak/>
        <w:t>Traditional Public Health Department</w:t>
      </w:r>
    </w:p>
    <w:p w14:paraId="53FD9D9E" w14:textId="77777777" w:rsidR="0037598A" w:rsidRPr="0037598A" w:rsidRDefault="0037598A" w:rsidP="0037598A">
      <w:pPr>
        <w:spacing w:after="0" w:line="240" w:lineRule="auto"/>
        <w:rPr>
          <w:rFonts w:ascii="Times New Roman" w:hAnsi="Times New Roman" w:cs="Times New Roman"/>
        </w:rPr>
      </w:pPr>
    </w:p>
    <w:p w14:paraId="439485F9" w14:textId="77777777" w:rsidR="0037598A" w:rsidRPr="0037598A" w:rsidRDefault="0037598A" w:rsidP="0037598A">
      <w:pPr>
        <w:spacing w:after="0" w:line="240" w:lineRule="auto"/>
        <w:rPr>
          <w:rFonts w:ascii="Times New Roman" w:hAnsi="Times New Roman" w:cs="Times New Roman"/>
        </w:rPr>
      </w:pPr>
    </w:p>
    <w:p w14:paraId="33E4778D"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xml:space="preserve">§ 130A-40.  Appointment of local health director. </w:t>
      </w:r>
    </w:p>
    <w:p w14:paraId="5ECB2ABF" w14:textId="77777777" w:rsidR="0037598A" w:rsidRPr="0037598A" w:rsidRDefault="0037598A" w:rsidP="0037598A">
      <w:pPr>
        <w:spacing w:after="0" w:line="240" w:lineRule="auto"/>
        <w:rPr>
          <w:rFonts w:ascii="Times New Roman" w:hAnsi="Times New Roman" w:cs="Times New Roman"/>
        </w:rPr>
      </w:pPr>
    </w:p>
    <w:p w14:paraId="3333C903"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 xml:space="preserve">(a) A local board of health, after consulting with the appropriate county board or boards of commissioners, </w:t>
      </w:r>
      <w:r w:rsidRPr="0037598A">
        <w:rPr>
          <w:rFonts w:ascii="Times New Roman" w:hAnsi="Times New Roman" w:cs="Times New Roman"/>
          <w:b/>
          <w:bCs/>
        </w:rPr>
        <w:t>shall appoint a local health director</w:t>
      </w:r>
      <w:r w:rsidRPr="0037598A">
        <w:rPr>
          <w:rFonts w:ascii="Times New Roman" w:hAnsi="Times New Roman" w:cs="Times New Roman"/>
        </w:rPr>
        <w:t>.</w:t>
      </w:r>
    </w:p>
    <w:p w14:paraId="64B359F2" w14:textId="77777777" w:rsidR="0037598A" w:rsidRPr="0037598A" w:rsidRDefault="0037598A" w:rsidP="0037598A">
      <w:pPr>
        <w:spacing w:after="0" w:line="240" w:lineRule="auto"/>
        <w:rPr>
          <w:rFonts w:ascii="Times New Roman" w:hAnsi="Times New Roman" w:cs="Times New Roman"/>
        </w:rPr>
      </w:pPr>
    </w:p>
    <w:p w14:paraId="4F8E7B4B" w14:textId="77777777" w:rsidR="0037598A" w:rsidRPr="0037598A" w:rsidRDefault="0037598A" w:rsidP="0037598A">
      <w:pPr>
        <w:spacing w:after="0" w:line="240" w:lineRule="auto"/>
        <w:rPr>
          <w:rFonts w:ascii="Times New Roman" w:hAnsi="Times New Roman" w:cs="Times New Roman"/>
        </w:rPr>
      </w:pPr>
    </w:p>
    <w:p w14:paraId="281CD90B"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130A-41.  Powers and duties of local health director.  . . .</w:t>
      </w:r>
    </w:p>
    <w:p w14:paraId="75BF4AF1" w14:textId="77777777" w:rsidR="0037598A" w:rsidRPr="0037598A" w:rsidRDefault="0037598A" w:rsidP="0037598A">
      <w:pPr>
        <w:spacing w:after="0" w:line="240" w:lineRule="auto"/>
        <w:rPr>
          <w:rFonts w:ascii="Times New Roman" w:hAnsi="Times New Roman" w:cs="Times New Roman"/>
        </w:rPr>
      </w:pPr>
    </w:p>
    <w:p w14:paraId="46AAF87C"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(b) A local health director shall have the following powers and duties: . . .</w:t>
      </w:r>
    </w:p>
    <w:p w14:paraId="280B8D7B" w14:textId="77777777" w:rsidR="0037598A" w:rsidRPr="0037598A" w:rsidRDefault="0037598A" w:rsidP="0037598A">
      <w:pPr>
        <w:spacing w:after="0" w:line="240" w:lineRule="auto"/>
        <w:ind w:left="720"/>
        <w:rPr>
          <w:rFonts w:ascii="Times New Roman" w:hAnsi="Times New Roman" w:cs="Times New Roman"/>
        </w:rPr>
      </w:pPr>
      <w:r w:rsidRPr="0037598A">
        <w:rPr>
          <w:rFonts w:ascii="Times New Roman" w:hAnsi="Times New Roman" w:cs="Times New Roman"/>
        </w:rPr>
        <w:t xml:space="preserve">(12) </w:t>
      </w:r>
      <w:r w:rsidRPr="0037598A">
        <w:rPr>
          <w:rFonts w:ascii="Times New Roman" w:hAnsi="Times New Roman" w:cs="Times New Roman"/>
          <w:b/>
          <w:bCs/>
        </w:rPr>
        <w:t>To employ and dismiss employees of the local health department in accordance with Chapter 126 of the General Statutes</w:t>
      </w:r>
      <w:r w:rsidRPr="0037598A">
        <w:rPr>
          <w:rFonts w:ascii="Times New Roman" w:hAnsi="Times New Roman" w:cs="Times New Roman"/>
        </w:rPr>
        <w:t>;</w:t>
      </w:r>
    </w:p>
    <w:p w14:paraId="5E3F78C1" w14:textId="77777777" w:rsidR="0037598A" w:rsidRPr="0037598A" w:rsidRDefault="0037598A" w:rsidP="0037598A">
      <w:pPr>
        <w:spacing w:after="0" w:line="240" w:lineRule="auto"/>
        <w:rPr>
          <w:rFonts w:ascii="Times New Roman" w:hAnsi="Times New Roman" w:cs="Times New Roman"/>
        </w:rPr>
      </w:pPr>
    </w:p>
    <w:p w14:paraId="4408727C" w14:textId="77777777" w:rsidR="0037598A" w:rsidRPr="0037598A" w:rsidRDefault="0037598A" w:rsidP="0037598A">
      <w:pPr>
        <w:spacing w:after="0" w:line="240" w:lineRule="auto"/>
        <w:rPr>
          <w:rFonts w:ascii="Times New Roman" w:hAnsi="Times New Roman" w:cs="Times New Roman"/>
        </w:rPr>
      </w:pPr>
    </w:p>
    <w:p w14:paraId="131CC7E1" w14:textId="77777777" w:rsidR="0037598A" w:rsidRPr="0037598A" w:rsidRDefault="0037598A" w:rsidP="0037598A">
      <w:pPr>
        <w:spacing w:after="0" w:line="240" w:lineRule="auto"/>
        <w:jc w:val="center"/>
        <w:rPr>
          <w:rFonts w:ascii="Times New Roman" w:hAnsi="Times New Roman" w:cs="Times New Roman"/>
          <w:sz w:val="28"/>
          <w:szCs w:val="28"/>
          <w:u w:val="single"/>
        </w:rPr>
      </w:pPr>
      <w:r w:rsidRPr="0037598A">
        <w:rPr>
          <w:rFonts w:ascii="Times New Roman" w:hAnsi="Times New Roman" w:cs="Times New Roman"/>
          <w:sz w:val="28"/>
          <w:szCs w:val="28"/>
          <w:u w:val="single"/>
        </w:rPr>
        <w:t>DSS or Public Health under Direct Control of Commissioners</w:t>
      </w:r>
    </w:p>
    <w:p w14:paraId="522CCB7E" w14:textId="77777777" w:rsidR="0037598A" w:rsidRPr="0037598A" w:rsidRDefault="0037598A" w:rsidP="0037598A">
      <w:pPr>
        <w:spacing w:after="0" w:line="240" w:lineRule="auto"/>
        <w:rPr>
          <w:rFonts w:ascii="Times New Roman" w:hAnsi="Times New Roman" w:cs="Times New Roman"/>
          <w:u w:val="single"/>
        </w:rPr>
      </w:pPr>
    </w:p>
    <w:p w14:paraId="1B8788ED" w14:textId="77777777" w:rsidR="0037598A" w:rsidRPr="0037598A" w:rsidRDefault="0037598A" w:rsidP="0037598A">
      <w:pPr>
        <w:spacing w:after="0" w:line="240" w:lineRule="auto"/>
        <w:rPr>
          <w:rFonts w:ascii="Times New Roman" w:hAnsi="Times New Roman" w:cs="Times New Roman"/>
          <w:u w:val="single"/>
        </w:rPr>
      </w:pPr>
    </w:p>
    <w:p w14:paraId="399CB202"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xml:space="preserve">§ 153A-77.  Authority of boards of commissioners over commissions, boards, agencies, etc. </w:t>
      </w:r>
    </w:p>
    <w:p w14:paraId="4B65BC42" w14:textId="77777777" w:rsidR="0037598A" w:rsidRPr="0037598A" w:rsidRDefault="0037598A" w:rsidP="0037598A">
      <w:pPr>
        <w:spacing w:after="0" w:line="240" w:lineRule="auto"/>
        <w:rPr>
          <w:rFonts w:ascii="Times New Roman" w:hAnsi="Times New Roman" w:cs="Times New Roman"/>
        </w:rPr>
      </w:pPr>
    </w:p>
    <w:p w14:paraId="18F41F66"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 xml:space="preserve">(a) In the exercise of its jurisdiction over commissions, boards and agencies, </w:t>
      </w:r>
      <w:r w:rsidRPr="0037598A">
        <w:rPr>
          <w:rFonts w:ascii="Times New Roman" w:hAnsi="Times New Roman" w:cs="Times New Roman"/>
          <w:b/>
          <w:bCs/>
        </w:rPr>
        <w:t xml:space="preserve">the board of county commissioners may assume direct control </w:t>
      </w:r>
      <w:r w:rsidRPr="0037598A">
        <w:rPr>
          <w:rFonts w:ascii="Times New Roman" w:hAnsi="Times New Roman" w:cs="Times New Roman"/>
        </w:rPr>
        <w:t>of any activities theretofore conducted by or through any commission, board or agency by the adoption of a resolution assuming and conferring upon the board of county commissioners all powers, responsibilities and duties of any such commission, board or agency.</w:t>
      </w:r>
    </w:p>
    <w:p w14:paraId="6865435A" w14:textId="77777777" w:rsidR="0037598A" w:rsidRPr="0037598A" w:rsidRDefault="0037598A" w:rsidP="0037598A">
      <w:pPr>
        <w:spacing w:after="0" w:line="240" w:lineRule="auto"/>
        <w:rPr>
          <w:rFonts w:ascii="Times New Roman" w:hAnsi="Times New Roman" w:cs="Times New Roman"/>
        </w:rPr>
      </w:pPr>
    </w:p>
    <w:p w14:paraId="0FD5AF7C" w14:textId="77777777" w:rsidR="0037598A" w:rsidRPr="0037598A" w:rsidRDefault="0037598A" w:rsidP="0037598A">
      <w:pPr>
        <w:spacing w:after="0" w:line="240" w:lineRule="auto"/>
        <w:rPr>
          <w:rFonts w:ascii="Times New Roman" w:hAnsi="Times New Roman" w:cs="Times New Roman"/>
        </w:rPr>
      </w:pPr>
    </w:p>
    <w:p w14:paraId="13B9EF15" w14:textId="77777777" w:rsidR="0037598A" w:rsidRPr="0037598A" w:rsidRDefault="0037598A" w:rsidP="0037598A">
      <w:pPr>
        <w:spacing w:after="0" w:line="240" w:lineRule="auto"/>
        <w:jc w:val="center"/>
        <w:rPr>
          <w:rFonts w:ascii="Times New Roman" w:hAnsi="Times New Roman" w:cs="Times New Roman"/>
          <w:sz w:val="28"/>
          <w:szCs w:val="28"/>
          <w:u w:val="single"/>
        </w:rPr>
      </w:pPr>
      <w:r w:rsidRPr="0037598A">
        <w:rPr>
          <w:rFonts w:ascii="Times New Roman" w:hAnsi="Times New Roman" w:cs="Times New Roman"/>
          <w:sz w:val="28"/>
          <w:szCs w:val="28"/>
          <w:u w:val="single"/>
        </w:rPr>
        <w:t>Consolidated Human Services Agencies</w:t>
      </w:r>
    </w:p>
    <w:p w14:paraId="5F15B399" w14:textId="77777777" w:rsidR="0037598A" w:rsidRPr="0037598A" w:rsidRDefault="0037598A" w:rsidP="0037598A">
      <w:pPr>
        <w:spacing w:after="0" w:line="240" w:lineRule="auto"/>
        <w:rPr>
          <w:rFonts w:ascii="Times New Roman" w:hAnsi="Times New Roman" w:cs="Times New Roman"/>
        </w:rPr>
      </w:pPr>
    </w:p>
    <w:p w14:paraId="5E97CC8C" w14:textId="77777777" w:rsidR="0037598A" w:rsidRPr="0037598A" w:rsidRDefault="0037598A" w:rsidP="0037598A">
      <w:pPr>
        <w:spacing w:after="0" w:line="240" w:lineRule="auto"/>
        <w:rPr>
          <w:rFonts w:ascii="Times New Roman" w:hAnsi="Times New Roman" w:cs="Times New Roman"/>
        </w:rPr>
      </w:pPr>
    </w:p>
    <w:p w14:paraId="008EFA25"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xml:space="preserve">§ 153A-77.  Authority of boards of commissioners over commissions, boards, agencies, etc. </w:t>
      </w:r>
    </w:p>
    <w:p w14:paraId="081F0468" w14:textId="77777777" w:rsidR="0037598A" w:rsidRPr="0037598A" w:rsidRDefault="0037598A" w:rsidP="0037598A">
      <w:pPr>
        <w:spacing w:after="0" w:line="240" w:lineRule="auto"/>
        <w:rPr>
          <w:rFonts w:ascii="Times New Roman" w:hAnsi="Times New Roman" w:cs="Times New Roman"/>
        </w:rPr>
      </w:pPr>
    </w:p>
    <w:p w14:paraId="28F8CEA5"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 xml:space="preserve">(b) In the exercise of its jurisdiction over commissions, boards, and agencies, the board of county commissioners of a county having a county manager pursuant to G.S. 153A-81 may: </w:t>
      </w:r>
    </w:p>
    <w:p w14:paraId="6C1C4C25" w14:textId="77777777" w:rsidR="0037598A" w:rsidRPr="0037598A" w:rsidRDefault="0037598A" w:rsidP="0037598A">
      <w:pPr>
        <w:spacing w:after="0" w:line="240" w:lineRule="auto"/>
        <w:ind w:left="720"/>
        <w:rPr>
          <w:rFonts w:ascii="Times New Roman" w:hAnsi="Times New Roman" w:cs="Times New Roman"/>
        </w:rPr>
      </w:pPr>
    </w:p>
    <w:p w14:paraId="14A2127B" w14:textId="77777777" w:rsidR="0037598A" w:rsidRPr="0037598A" w:rsidRDefault="0037598A" w:rsidP="0037598A">
      <w:pPr>
        <w:spacing w:after="0" w:line="240" w:lineRule="auto"/>
        <w:ind w:left="720"/>
        <w:rPr>
          <w:rFonts w:ascii="Times New Roman" w:hAnsi="Times New Roman" w:cs="Times New Roman"/>
        </w:rPr>
      </w:pPr>
      <w:r w:rsidRPr="0037598A">
        <w:rPr>
          <w:rFonts w:ascii="Times New Roman" w:hAnsi="Times New Roman" w:cs="Times New Roman"/>
        </w:rPr>
        <w:t>(1) Consolidate certain provisions of human services in the county under the direct control of a human services director appointed and supervised by the county manager in accordance with subsection (e) of this section;</w:t>
      </w:r>
    </w:p>
    <w:p w14:paraId="28ABAB43" w14:textId="77777777" w:rsidR="0037598A" w:rsidRPr="0037598A" w:rsidRDefault="0037598A" w:rsidP="0037598A">
      <w:pPr>
        <w:spacing w:after="0" w:line="240" w:lineRule="auto"/>
        <w:rPr>
          <w:rFonts w:ascii="Times New Roman" w:hAnsi="Times New Roman" w:cs="Times New Roman"/>
        </w:rPr>
      </w:pPr>
    </w:p>
    <w:p w14:paraId="5CD5F41E" w14:textId="77777777" w:rsidR="0037598A" w:rsidRPr="0037598A" w:rsidRDefault="0037598A" w:rsidP="0037598A">
      <w:pPr>
        <w:spacing w:after="0" w:line="240" w:lineRule="auto"/>
        <w:rPr>
          <w:rFonts w:ascii="Times New Roman" w:hAnsi="Times New Roman" w:cs="Times New Roman"/>
        </w:rPr>
      </w:pPr>
    </w:p>
    <w:p w14:paraId="17030761"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153A-77.  Authority of boards of commissioners over commissions, boards, agencies, etc.</w:t>
      </w:r>
    </w:p>
    <w:p w14:paraId="6A3EDDF7" w14:textId="77777777" w:rsidR="0037598A" w:rsidRPr="0037598A" w:rsidRDefault="0037598A" w:rsidP="0037598A">
      <w:pPr>
        <w:spacing w:after="0" w:line="240" w:lineRule="auto"/>
        <w:rPr>
          <w:rFonts w:ascii="Times New Roman" w:hAnsi="Times New Roman" w:cs="Times New Roman"/>
        </w:rPr>
      </w:pPr>
    </w:p>
    <w:p w14:paraId="08D642BF"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 xml:space="preserve">(e) </w:t>
      </w:r>
      <w:r w:rsidRPr="0037598A">
        <w:rPr>
          <w:rFonts w:ascii="Times New Roman" w:hAnsi="Times New Roman" w:cs="Times New Roman"/>
          <w:b/>
          <w:bCs/>
        </w:rPr>
        <w:t xml:space="preserve">The human services director of a consolidated county human services agency shall be appointed and dismissed by the county manager with the advice and consent of the </w:t>
      </w:r>
      <w:r w:rsidRPr="0037598A">
        <w:rPr>
          <w:rFonts w:ascii="Times New Roman" w:hAnsi="Times New Roman" w:cs="Times New Roman"/>
          <w:b/>
          <w:bCs/>
        </w:rPr>
        <w:lastRenderedPageBreak/>
        <w:t>consolidated human services board.</w:t>
      </w:r>
      <w:r w:rsidRPr="0037598A">
        <w:rPr>
          <w:rFonts w:ascii="Times New Roman" w:hAnsi="Times New Roman" w:cs="Times New Roman"/>
        </w:rPr>
        <w:t xml:space="preserve"> The human services director shall report directly to the county manager. The human services director shall: </w:t>
      </w:r>
    </w:p>
    <w:p w14:paraId="1ECB5016" w14:textId="77777777" w:rsidR="0037598A" w:rsidRPr="0037598A" w:rsidRDefault="0037598A" w:rsidP="0037598A">
      <w:pPr>
        <w:spacing w:after="0" w:line="240" w:lineRule="auto"/>
        <w:ind w:left="720"/>
        <w:rPr>
          <w:rFonts w:ascii="Times New Roman" w:hAnsi="Times New Roman" w:cs="Times New Roman"/>
        </w:rPr>
      </w:pPr>
    </w:p>
    <w:p w14:paraId="78CC2665" w14:textId="77777777" w:rsidR="0037598A" w:rsidRPr="0037598A" w:rsidRDefault="0037598A" w:rsidP="0037598A">
      <w:pPr>
        <w:spacing w:after="0" w:line="240" w:lineRule="auto"/>
        <w:ind w:left="720"/>
        <w:rPr>
          <w:rFonts w:ascii="Times New Roman" w:hAnsi="Times New Roman" w:cs="Times New Roman"/>
        </w:rPr>
      </w:pPr>
      <w:r w:rsidRPr="0037598A">
        <w:rPr>
          <w:rFonts w:ascii="Times New Roman" w:hAnsi="Times New Roman" w:cs="Times New Roman"/>
        </w:rPr>
        <w:t xml:space="preserve">(1) </w:t>
      </w:r>
      <w:r w:rsidRPr="0037598A">
        <w:rPr>
          <w:rFonts w:ascii="Times New Roman" w:hAnsi="Times New Roman" w:cs="Times New Roman"/>
          <w:b/>
          <w:bCs/>
        </w:rPr>
        <w:t>Appoint staff of the consolidated human services agency with the county manager's approva</w:t>
      </w:r>
      <w:r w:rsidRPr="0037598A">
        <w:rPr>
          <w:rFonts w:ascii="Times New Roman" w:hAnsi="Times New Roman" w:cs="Times New Roman"/>
        </w:rPr>
        <w:t>l.</w:t>
      </w:r>
    </w:p>
    <w:p w14:paraId="4AE9D8B1" w14:textId="77777777" w:rsidR="0037598A" w:rsidRPr="0037598A" w:rsidRDefault="0037598A" w:rsidP="0037598A">
      <w:pPr>
        <w:spacing w:after="0" w:line="240" w:lineRule="auto"/>
        <w:rPr>
          <w:rFonts w:ascii="Times New Roman" w:hAnsi="Times New Roman" w:cs="Times New Roman"/>
        </w:rPr>
      </w:pPr>
    </w:p>
    <w:p w14:paraId="082ADCA4" w14:textId="77777777" w:rsidR="0037598A" w:rsidRPr="0037598A" w:rsidRDefault="0037598A" w:rsidP="0037598A">
      <w:pPr>
        <w:spacing w:after="0" w:line="240" w:lineRule="auto"/>
        <w:rPr>
          <w:rFonts w:ascii="Times New Roman" w:hAnsi="Times New Roman" w:cs="Times New Roman"/>
        </w:rPr>
      </w:pPr>
    </w:p>
    <w:p w14:paraId="6F5F26FD"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153A-77.  Authority of boards of commissioners over commissions, boards, agencies, etc.</w:t>
      </w:r>
    </w:p>
    <w:p w14:paraId="3067A695" w14:textId="77777777" w:rsidR="0037598A" w:rsidRPr="0037598A" w:rsidRDefault="0037598A" w:rsidP="0037598A">
      <w:pPr>
        <w:spacing w:after="0" w:line="240" w:lineRule="auto"/>
        <w:rPr>
          <w:rFonts w:ascii="Times New Roman" w:hAnsi="Times New Roman" w:cs="Times New Roman"/>
        </w:rPr>
      </w:pPr>
    </w:p>
    <w:p w14:paraId="136E608C"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 xml:space="preserve">(d) . . . Local employees who serve as staff of a consolidated county human services agency are subject to county personnel policies and ordinances only and are not subject to the provisions of the North Carolina Human Resources Act, </w:t>
      </w:r>
      <w:r w:rsidRPr="0037598A">
        <w:rPr>
          <w:rFonts w:ascii="Times New Roman" w:hAnsi="Times New Roman" w:cs="Times New Roman"/>
          <w:b/>
          <w:bCs/>
        </w:rPr>
        <w:t>unless the county board of commissioners elects to subject the local employees to the provisions of that Act</w:t>
      </w:r>
      <w:r w:rsidRPr="0037598A">
        <w:rPr>
          <w:rFonts w:ascii="Times New Roman" w:hAnsi="Times New Roman" w:cs="Times New Roman"/>
        </w:rPr>
        <w:t>.</w:t>
      </w:r>
      <w:bookmarkEnd w:id="0"/>
    </w:p>
    <w:p w14:paraId="0C7A9A1A" w14:textId="77777777" w:rsidR="0037598A" w:rsidRPr="0037598A" w:rsidRDefault="0037598A" w:rsidP="0037598A">
      <w:pPr>
        <w:spacing w:after="0" w:line="240" w:lineRule="auto"/>
        <w:rPr>
          <w:rFonts w:ascii="Times New Roman" w:hAnsi="Times New Roman" w:cs="Times New Roman"/>
        </w:rPr>
      </w:pPr>
    </w:p>
    <w:p w14:paraId="5676969C" w14:textId="77777777" w:rsidR="0037598A" w:rsidRPr="0037598A" w:rsidRDefault="0037598A" w:rsidP="0037598A">
      <w:pPr>
        <w:spacing w:after="0" w:line="240" w:lineRule="auto"/>
        <w:rPr>
          <w:rFonts w:ascii="Times New Roman" w:hAnsi="Times New Roman" w:cs="Times New Roman"/>
        </w:rPr>
      </w:pPr>
    </w:p>
    <w:p w14:paraId="1E7CBD3C" w14:textId="77777777" w:rsidR="0037598A" w:rsidRPr="0037598A" w:rsidRDefault="0037598A" w:rsidP="0037598A">
      <w:pPr>
        <w:spacing w:after="0" w:line="240" w:lineRule="auto"/>
        <w:jc w:val="center"/>
        <w:rPr>
          <w:rFonts w:ascii="Times New Roman" w:hAnsi="Times New Roman" w:cs="Times New Roman"/>
          <w:b/>
          <w:bCs/>
          <w:sz w:val="32"/>
          <w:szCs w:val="32"/>
        </w:rPr>
      </w:pPr>
      <w:r w:rsidRPr="0037598A">
        <w:rPr>
          <w:rFonts w:ascii="Times New Roman" w:hAnsi="Times New Roman" w:cs="Times New Roman"/>
          <w:b/>
          <w:bCs/>
          <w:sz w:val="32"/>
          <w:szCs w:val="32"/>
        </w:rPr>
        <w:t>Community Colleges</w:t>
      </w:r>
    </w:p>
    <w:p w14:paraId="3274631E" w14:textId="77777777" w:rsidR="0037598A" w:rsidRPr="0037598A" w:rsidRDefault="0037598A" w:rsidP="0037598A">
      <w:pPr>
        <w:spacing w:after="0" w:line="240" w:lineRule="auto"/>
        <w:rPr>
          <w:rFonts w:ascii="Times New Roman" w:hAnsi="Times New Roman" w:cs="Times New Roman"/>
        </w:rPr>
      </w:pPr>
    </w:p>
    <w:p w14:paraId="360B31D8" w14:textId="77777777" w:rsidR="0037598A" w:rsidRPr="0037598A" w:rsidRDefault="0037598A" w:rsidP="0037598A">
      <w:pPr>
        <w:spacing w:after="0" w:line="240" w:lineRule="auto"/>
        <w:rPr>
          <w:rFonts w:ascii="Times New Roman" w:hAnsi="Times New Roman" w:cs="Times New Roman"/>
        </w:rPr>
      </w:pPr>
    </w:p>
    <w:p w14:paraId="6683EAEE"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xml:space="preserve">§ 115D-20.  Powers and duties of trustees. </w:t>
      </w:r>
    </w:p>
    <w:p w14:paraId="6DD8A6E4" w14:textId="77777777" w:rsidR="0037598A" w:rsidRPr="0037598A" w:rsidRDefault="0037598A" w:rsidP="0037598A">
      <w:pPr>
        <w:spacing w:after="0" w:line="240" w:lineRule="auto"/>
        <w:rPr>
          <w:rFonts w:ascii="Times New Roman" w:hAnsi="Times New Roman" w:cs="Times New Roman"/>
        </w:rPr>
      </w:pPr>
    </w:p>
    <w:p w14:paraId="2B877164"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 xml:space="preserve">The trustees of each institution shall constitute the local administrative board of such institution, with such powers and duties as are provided in this Chapter and as are delegated to it by the State Board of Community Colleges. The powers and duties of trustees shall include the following: </w:t>
      </w:r>
    </w:p>
    <w:p w14:paraId="0615C6D9" w14:textId="77777777" w:rsidR="0037598A" w:rsidRPr="0037598A" w:rsidRDefault="0037598A" w:rsidP="0037598A">
      <w:pPr>
        <w:spacing w:after="0" w:line="240" w:lineRule="auto"/>
        <w:ind w:left="720"/>
        <w:rPr>
          <w:rFonts w:ascii="Times New Roman" w:hAnsi="Times New Roman" w:cs="Times New Roman"/>
        </w:rPr>
      </w:pPr>
    </w:p>
    <w:p w14:paraId="0C7A2B2E" w14:textId="77777777" w:rsidR="0037598A" w:rsidRPr="0037598A" w:rsidRDefault="0037598A" w:rsidP="0037598A">
      <w:pPr>
        <w:spacing w:after="0" w:line="240" w:lineRule="auto"/>
        <w:ind w:left="720"/>
        <w:rPr>
          <w:rFonts w:ascii="Times New Roman" w:hAnsi="Times New Roman" w:cs="Times New Roman"/>
        </w:rPr>
      </w:pPr>
      <w:r w:rsidRPr="0037598A">
        <w:rPr>
          <w:rFonts w:ascii="Times New Roman" w:hAnsi="Times New Roman" w:cs="Times New Roman"/>
        </w:rPr>
        <w:t xml:space="preserve">(1) </w:t>
      </w:r>
      <w:r w:rsidRPr="0037598A">
        <w:rPr>
          <w:rFonts w:ascii="Times New Roman" w:hAnsi="Times New Roman" w:cs="Times New Roman"/>
          <w:b/>
          <w:bCs/>
        </w:rPr>
        <w:t>To elect a president</w:t>
      </w:r>
      <w:r w:rsidRPr="0037598A">
        <w:rPr>
          <w:rFonts w:ascii="Times New Roman" w:hAnsi="Times New Roman" w:cs="Times New Roman"/>
        </w:rPr>
        <w:t xml:space="preserve"> or chief administrative officer of the institution for such term and under such conditions as the trustees may fix. . . . The election of a president or chief administrative officer shall be subject to the approval of the State Board of Community Colleges. </w:t>
      </w:r>
    </w:p>
    <w:p w14:paraId="45D74DF7" w14:textId="77777777" w:rsidR="0037598A" w:rsidRPr="0037598A" w:rsidRDefault="0037598A" w:rsidP="0037598A">
      <w:pPr>
        <w:spacing w:after="0" w:line="240" w:lineRule="auto"/>
        <w:ind w:left="720"/>
        <w:rPr>
          <w:rFonts w:ascii="Times New Roman" w:hAnsi="Times New Roman" w:cs="Times New Roman"/>
        </w:rPr>
      </w:pPr>
      <w:r w:rsidRPr="0037598A">
        <w:rPr>
          <w:rFonts w:ascii="Times New Roman" w:hAnsi="Times New Roman" w:cs="Times New Roman"/>
        </w:rPr>
        <w:t xml:space="preserve">(2) </w:t>
      </w:r>
      <w:r w:rsidRPr="0037598A">
        <w:rPr>
          <w:rFonts w:ascii="Times New Roman" w:hAnsi="Times New Roman" w:cs="Times New Roman"/>
          <w:b/>
          <w:bCs/>
        </w:rPr>
        <w:t xml:space="preserve">To elect or employ all other personnel of the institution upon nomination by the president or chief administrative officer, subject to standards established by the State Board of Community Colleges. Trustees may delegate the authority of employing such other personnel to its president </w:t>
      </w:r>
      <w:r w:rsidRPr="0037598A">
        <w:rPr>
          <w:rFonts w:ascii="Times New Roman" w:hAnsi="Times New Roman" w:cs="Times New Roman"/>
        </w:rPr>
        <w:t>or chief administrative officer.</w:t>
      </w:r>
    </w:p>
    <w:p w14:paraId="6FD6D6CB" w14:textId="77777777" w:rsidR="0037598A" w:rsidRPr="0037598A" w:rsidRDefault="0037598A" w:rsidP="0037598A">
      <w:pPr>
        <w:spacing w:after="0" w:line="240" w:lineRule="auto"/>
        <w:rPr>
          <w:rFonts w:ascii="Times New Roman" w:hAnsi="Times New Roman" w:cs="Times New Roman"/>
        </w:rPr>
      </w:pPr>
    </w:p>
    <w:p w14:paraId="1FFB1053" w14:textId="77777777" w:rsidR="0037598A" w:rsidRPr="0037598A" w:rsidRDefault="0037598A" w:rsidP="0037598A">
      <w:pPr>
        <w:spacing w:after="0" w:line="240" w:lineRule="auto"/>
        <w:rPr>
          <w:rFonts w:ascii="Times New Roman" w:hAnsi="Times New Roman" w:cs="Times New Roman"/>
        </w:rPr>
      </w:pPr>
    </w:p>
    <w:p w14:paraId="7DAE0D40" w14:textId="77777777" w:rsidR="0037598A" w:rsidRPr="0037598A" w:rsidRDefault="0037598A" w:rsidP="0037598A">
      <w:pPr>
        <w:spacing w:after="0" w:line="240" w:lineRule="auto"/>
        <w:jc w:val="center"/>
        <w:rPr>
          <w:rFonts w:ascii="Times New Roman" w:hAnsi="Times New Roman" w:cs="Times New Roman"/>
          <w:b/>
          <w:bCs/>
          <w:sz w:val="32"/>
          <w:szCs w:val="32"/>
        </w:rPr>
      </w:pPr>
      <w:r w:rsidRPr="0037598A">
        <w:rPr>
          <w:rFonts w:ascii="Times New Roman" w:hAnsi="Times New Roman" w:cs="Times New Roman"/>
          <w:b/>
          <w:bCs/>
          <w:sz w:val="32"/>
          <w:szCs w:val="32"/>
        </w:rPr>
        <w:t>State Government</w:t>
      </w:r>
    </w:p>
    <w:p w14:paraId="193F4CEF" w14:textId="77777777" w:rsidR="0037598A" w:rsidRPr="0037598A" w:rsidRDefault="0037598A" w:rsidP="0037598A">
      <w:pPr>
        <w:spacing w:after="0" w:line="240" w:lineRule="auto"/>
        <w:rPr>
          <w:rFonts w:ascii="Times New Roman" w:hAnsi="Times New Roman" w:cs="Times New Roman"/>
        </w:rPr>
      </w:pPr>
    </w:p>
    <w:p w14:paraId="2C7729E4" w14:textId="77777777" w:rsidR="0037598A" w:rsidRPr="0037598A" w:rsidRDefault="0037598A" w:rsidP="0037598A">
      <w:pPr>
        <w:spacing w:after="0" w:line="240" w:lineRule="auto"/>
        <w:rPr>
          <w:rFonts w:ascii="Times New Roman" w:hAnsi="Times New Roman" w:cs="Times New Roman"/>
        </w:rPr>
      </w:pPr>
    </w:p>
    <w:p w14:paraId="728EEB17" w14:textId="77777777" w:rsidR="0037598A" w:rsidRPr="0037598A" w:rsidRDefault="0037598A" w:rsidP="0037598A">
      <w:pPr>
        <w:spacing w:after="0" w:line="240" w:lineRule="auto"/>
        <w:jc w:val="center"/>
        <w:rPr>
          <w:rFonts w:ascii="Times New Roman" w:hAnsi="Times New Roman" w:cs="Times New Roman"/>
          <w:sz w:val="28"/>
          <w:szCs w:val="28"/>
          <w:u w:val="single"/>
        </w:rPr>
      </w:pPr>
      <w:r w:rsidRPr="0037598A">
        <w:rPr>
          <w:rFonts w:ascii="Times New Roman" w:hAnsi="Times New Roman" w:cs="Times New Roman"/>
          <w:sz w:val="28"/>
          <w:szCs w:val="28"/>
          <w:u w:val="single"/>
        </w:rPr>
        <w:t>Covered and Not Covered by All or Parts of the State Human Resources Act</w:t>
      </w:r>
    </w:p>
    <w:p w14:paraId="6FDDB455" w14:textId="77777777" w:rsidR="0037598A" w:rsidRPr="0037598A" w:rsidRDefault="0037598A" w:rsidP="0037598A">
      <w:pPr>
        <w:spacing w:after="0" w:line="240" w:lineRule="auto"/>
        <w:rPr>
          <w:rFonts w:ascii="Times New Roman" w:hAnsi="Times New Roman" w:cs="Times New Roman"/>
        </w:rPr>
      </w:pPr>
    </w:p>
    <w:p w14:paraId="275C1F23" w14:textId="77777777" w:rsidR="0037598A" w:rsidRPr="0037598A" w:rsidRDefault="0037598A" w:rsidP="0037598A">
      <w:pPr>
        <w:spacing w:after="0" w:line="240" w:lineRule="auto"/>
        <w:rPr>
          <w:rFonts w:ascii="Times New Roman" w:hAnsi="Times New Roman" w:cs="Times New Roman"/>
        </w:rPr>
      </w:pPr>
    </w:p>
    <w:p w14:paraId="142337BE"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xml:space="preserve">§ 126-4.  Powers and duties of State Human Resources Commission. </w:t>
      </w:r>
    </w:p>
    <w:p w14:paraId="261E2614" w14:textId="77777777" w:rsidR="0037598A" w:rsidRPr="0037598A" w:rsidRDefault="0037598A" w:rsidP="0037598A">
      <w:pPr>
        <w:spacing w:after="0" w:line="240" w:lineRule="auto"/>
        <w:rPr>
          <w:rFonts w:ascii="Times New Roman" w:hAnsi="Times New Roman" w:cs="Times New Roman"/>
        </w:rPr>
      </w:pPr>
    </w:p>
    <w:p w14:paraId="6DA78DA0"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 xml:space="preserve">Subject to the approval of the Governor, the State Human Resources Commission shall establish policies and rules governing each of the following: . . . . </w:t>
      </w:r>
    </w:p>
    <w:p w14:paraId="4FF13473" w14:textId="77777777" w:rsidR="0037598A" w:rsidRPr="0037598A" w:rsidRDefault="0037598A" w:rsidP="0037598A">
      <w:pPr>
        <w:spacing w:after="0" w:line="240" w:lineRule="auto"/>
        <w:ind w:left="720"/>
        <w:rPr>
          <w:rFonts w:ascii="Times New Roman" w:hAnsi="Times New Roman" w:cs="Times New Roman"/>
        </w:rPr>
      </w:pPr>
    </w:p>
    <w:p w14:paraId="73760D65" w14:textId="77777777" w:rsidR="0037598A" w:rsidRPr="0037598A" w:rsidRDefault="0037598A" w:rsidP="0037598A">
      <w:pPr>
        <w:spacing w:after="0" w:line="240" w:lineRule="auto"/>
        <w:ind w:left="720"/>
        <w:rPr>
          <w:rFonts w:ascii="Times New Roman" w:hAnsi="Times New Roman" w:cs="Times New Roman"/>
        </w:rPr>
      </w:pPr>
      <w:r w:rsidRPr="0037598A">
        <w:rPr>
          <w:rFonts w:ascii="Times New Roman" w:hAnsi="Times New Roman" w:cs="Times New Roman"/>
        </w:rPr>
        <w:t xml:space="preserve">(6) The appointment, promotion, transfer, demotion and suspension of employees. . . . . </w:t>
      </w:r>
    </w:p>
    <w:p w14:paraId="12ECD1EE" w14:textId="77777777" w:rsidR="0037598A" w:rsidRPr="0037598A" w:rsidRDefault="0037598A" w:rsidP="0037598A">
      <w:pPr>
        <w:spacing w:after="0" w:line="240" w:lineRule="auto"/>
        <w:ind w:left="720"/>
        <w:rPr>
          <w:rFonts w:ascii="Times New Roman" w:hAnsi="Times New Roman" w:cs="Times New Roman"/>
        </w:rPr>
      </w:pPr>
      <w:r w:rsidRPr="0037598A">
        <w:rPr>
          <w:rFonts w:ascii="Times New Roman" w:hAnsi="Times New Roman" w:cs="Times New Roman"/>
        </w:rPr>
        <w:lastRenderedPageBreak/>
        <w:t>(7a) The separation of employees.</w:t>
      </w:r>
    </w:p>
    <w:p w14:paraId="223E6337" w14:textId="77777777" w:rsidR="0037598A" w:rsidRPr="0037598A" w:rsidRDefault="0037598A" w:rsidP="0037598A">
      <w:pPr>
        <w:spacing w:after="0" w:line="240" w:lineRule="auto"/>
        <w:rPr>
          <w:rFonts w:ascii="Times New Roman" w:hAnsi="Times New Roman" w:cs="Times New Roman"/>
        </w:rPr>
      </w:pPr>
    </w:p>
    <w:p w14:paraId="4E7100F5" w14:textId="77777777" w:rsidR="0037598A" w:rsidRPr="0037598A" w:rsidRDefault="0037598A" w:rsidP="0037598A">
      <w:pPr>
        <w:spacing w:after="0" w:line="240" w:lineRule="auto"/>
        <w:rPr>
          <w:rFonts w:ascii="Times New Roman" w:hAnsi="Times New Roman" w:cs="Times New Roman"/>
        </w:rPr>
      </w:pPr>
    </w:p>
    <w:p w14:paraId="603E97E2"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xml:space="preserve">§ 126-5.  Employees subject to Chapter; exemptions. </w:t>
      </w:r>
    </w:p>
    <w:p w14:paraId="5C55B3FC" w14:textId="77777777" w:rsidR="0037598A" w:rsidRPr="0037598A" w:rsidRDefault="0037598A" w:rsidP="0037598A">
      <w:pPr>
        <w:spacing w:after="0" w:line="240" w:lineRule="auto"/>
        <w:rPr>
          <w:rFonts w:ascii="Times New Roman" w:hAnsi="Times New Roman" w:cs="Times New Roman"/>
        </w:rPr>
      </w:pPr>
    </w:p>
    <w:p w14:paraId="5EE6A030"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 xml:space="preserve">(a) This Chapter applies to all of the following: </w:t>
      </w:r>
    </w:p>
    <w:p w14:paraId="509C42E1" w14:textId="77777777" w:rsidR="0037598A" w:rsidRPr="0037598A" w:rsidRDefault="0037598A" w:rsidP="0037598A">
      <w:pPr>
        <w:spacing w:after="0" w:line="240" w:lineRule="auto"/>
        <w:rPr>
          <w:rFonts w:ascii="Times New Roman" w:hAnsi="Times New Roman" w:cs="Times New Roman"/>
        </w:rPr>
      </w:pPr>
    </w:p>
    <w:p w14:paraId="15BE8BBB" w14:textId="77777777" w:rsidR="0037598A" w:rsidRPr="0037598A" w:rsidRDefault="0037598A" w:rsidP="0037598A">
      <w:pPr>
        <w:spacing w:after="0" w:line="240" w:lineRule="auto"/>
        <w:ind w:left="720"/>
        <w:rPr>
          <w:rFonts w:ascii="Times New Roman" w:hAnsi="Times New Roman" w:cs="Times New Roman"/>
        </w:rPr>
      </w:pPr>
      <w:r w:rsidRPr="0037598A">
        <w:rPr>
          <w:rFonts w:ascii="Times New Roman" w:hAnsi="Times New Roman" w:cs="Times New Roman"/>
        </w:rPr>
        <w:t xml:space="preserve">(1) All State employees not exempted by this section. </w:t>
      </w:r>
    </w:p>
    <w:p w14:paraId="4A033E2E" w14:textId="77777777" w:rsidR="0037598A" w:rsidRPr="0037598A" w:rsidRDefault="0037598A" w:rsidP="0037598A">
      <w:pPr>
        <w:spacing w:after="0" w:line="240" w:lineRule="auto"/>
        <w:ind w:left="720"/>
        <w:rPr>
          <w:rFonts w:ascii="Times New Roman" w:hAnsi="Times New Roman" w:cs="Times New Roman"/>
        </w:rPr>
      </w:pPr>
      <w:r w:rsidRPr="0037598A">
        <w:rPr>
          <w:rFonts w:ascii="Times New Roman" w:hAnsi="Times New Roman" w:cs="Times New Roman"/>
        </w:rPr>
        <w:t xml:space="preserve">(2) All employees of the following local entities: </w:t>
      </w:r>
    </w:p>
    <w:p w14:paraId="79753BDB" w14:textId="77777777" w:rsidR="0037598A" w:rsidRPr="0037598A" w:rsidRDefault="0037598A" w:rsidP="0037598A">
      <w:pPr>
        <w:spacing w:after="0" w:line="240" w:lineRule="auto"/>
        <w:ind w:left="1440"/>
        <w:rPr>
          <w:rFonts w:ascii="Times New Roman" w:hAnsi="Times New Roman" w:cs="Times New Roman"/>
        </w:rPr>
      </w:pPr>
      <w:r w:rsidRPr="0037598A">
        <w:rPr>
          <w:rFonts w:ascii="Times New Roman" w:hAnsi="Times New Roman" w:cs="Times New Roman"/>
        </w:rPr>
        <w:t xml:space="preserve">a. Area mental health, developmental disabilities, and substance abuse authorities, except as otherwise provided in Chapter 122C of the General Statutes. </w:t>
      </w:r>
    </w:p>
    <w:p w14:paraId="218635E6" w14:textId="77777777" w:rsidR="0037598A" w:rsidRPr="0037598A" w:rsidRDefault="0037598A" w:rsidP="0037598A">
      <w:pPr>
        <w:spacing w:after="0" w:line="240" w:lineRule="auto"/>
        <w:ind w:left="1440"/>
        <w:rPr>
          <w:rFonts w:ascii="Times New Roman" w:hAnsi="Times New Roman" w:cs="Times New Roman"/>
        </w:rPr>
      </w:pPr>
      <w:r w:rsidRPr="0037598A">
        <w:rPr>
          <w:rFonts w:ascii="Times New Roman" w:hAnsi="Times New Roman" w:cs="Times New Roman"/>
        </w:rPr>
        <w:t xml:space="preserve">b. Local social services departments. </w:t>
      </w:r>
    </w:p>
    <w:p w14:paraId="34CE7D6A" w14:textId="77777777" w:rsidR="0037598A" w:rsidRPr="0037598A" w:rsidRDefault="0037598A" w:rsidP="0037598A">
      <w:pPr>
        <w:spacing w:after="0" w:line="240" w:lineRule="auto"/>
        <w:ind w:left="1440"/>
        <w:rPr>
          <w:rFonts w:ascii="Times New Roman" w:hAnsi="Times New Roman" w:cs="Times New Roman"/>
        </w:rPr>
      </w:pPr>
      <w:r w:rsidRPr="0037598A">
        <w:rPr>
          <w:rFonts w:ascii="Times New Roman" w:hAnsi="Times New Roman" w:cs="Times New Roman"/>
        </w:rPr>
        <w:t xml:space="preserve">c. County health departments and district health departments. d. Local emergency management agencies that receive federal grant-in-aid funds. An employee of a consolidated county human services agency created pursuant to G.S. 153A-77(b) is not considered an employee of an entity listed in this subdivision. </w:t>
      </w:r>
    </w:p>
    <w:p w14:paraId="70AE2292" w14:textId="77777777" w:rsidR="0037598A" w:rsidRPr="0037598A" w:rsidRDefault="0037598A" w:rsidP="0037598A">
      <w:pPr>
        <w:spacing w:after="0" w:line="240" w:lineRule="auto"/>
        <w:ind w:left="720"/>
        <w:rPr>
          <w:rFonts w:ascii="Times New Roman" w:hAnsi="Times New Roman" w:cs="Times New Roman"/>
        </w:rPr>
      </w:pPr>
      <w:r w:rsidRPr="0037598A">
        <w:rPr>
          <w:rFonts w:ascii="Times New Roman" w:hAnsi="Times New Roman" w:cs="Times New Roman"/>
        </w:rPr>
        <w:t>(3) County employees not included under subdivision (2) of this subsection as the several boards of county commissioners may from time to time determine.</w:t>
      </w:r>
    </w:p>
    <w:p w14:paraId="63713DC9"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 xml:space="preserve">. . . </w:t>
      </w:r>
    </w:p>
    <w:p w14:paraId="0A5C46E0" w14:textId="77777777" w:rsidR="0037598A" w:rsidRPr="0037598A" w:rsidRDefault="0037598A" w:rsidP="0037598A">
      <w:pPr>
        <w:spacing w:after="0" w:line="240" w:lineRule="auto"/>
        <w:rPr>
          <w:rFonts w:ascii="Times New Roman" w:hAnsi="Times New Roman" w:cs="Times New Roman"/>
        </w:rPr>
      </w:pPr>
    </w:p>
    <w:p w14:paraId="1117C6B6"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(c) Except as to the policies, rules, and plans established by the Commission pursuant to G.S. 126-4(1), 126-4(2), 126-4(3), 126-4(4), 126-4(5), [</w:t>
      </w:r>
      <w:r w:rsidRPr="0037598A">
        <w:rPr>
          <w:rFonts w:ascii="Times New Roman" w:hAnsi="Times New Roman" w:cs="Times New Roman"/>
          <w:i/>
          <w:iCs/>
        </w:rPr>
        <w:t>position classification, holidays, etc</w:t>
      </w:r>
      <w:r w:rsidRPr="0037598A">
        <w:rPr>
          <w:rFonts w:ascii="Times New Roman" w:hAnsi="Times New Roman" w:cs="Times New Roman"/>
        </w:rPr>
        <w:t>.] and 126-4(6) [</w:t>
      </w:r>
      <w:r w:rsidRPr="0037598A">
        <w:rPr>
          <w:rFonts w:ascii="Times New Roman" w:hAnsi="Times New Roman" w:cs="Times New Roman"/>
          <w:i/>
          <w:iCs/>
        </w:rPr>
        <w:t>appointment</w:t>
      </w:r>
      <w:r w:rsidRPr="0037598A">
        <w:rPr>
          <w:rFonts w:ascii="Times New Roman" w:hAnsi="Times New Roman" w:cs="Times New Roman"/>
        </w:rPr>
        <w:t>], and except as to Articles 6 and 7 [</w:t>
      </w:r>
      <w:r w:rsidRPr="0037598A">
        <w:rPr>
          <w:rFonts w:ascii="Times New Roman" w:hAnsi="Times New Roman" w:cs="Times New Roman"/>
          <w:i/>
          <w:iCs/>
        </w:rPr>
        <w:t>EEO and personnel records</w:t>
      </w:r>
      <w:r w:rsidRPr="0037598A">
        <w:rPr>
          <w:rFonts w:ascii="Times New Roman" w:hAnsi="Times New Roman" w:cs="Times New Roman"/>
        </w:rPr>
        <w:t xml:space="preserve">] of this Chapter, this Chapter does not apply to any of the following: </w:t>
      </w:r>
    </w:p>
    <w:p w14:paraId="582EE498" w14:textId="77777777" w:rsidR="0037598A" w:rsidRPr="0037598A" w:rsidRDefault="0037598A" w:rsidP="0037598A">
      <w:pPr>
        <w:spacing w:after="0" w:line="240" w:lineRule="auto"/>
        <w:rPr>
          <w:rFonts w:ascii="Times New Roman" w:hAnsi="Times New Roman" w:cs="Times New Roman"/>
        </w:rPr>
      </w:pPr>
    </w:p>
    <w:p w14:paraId="1A048911" w14:textId="77777777" w:rsidR="0037598A" w:rsidRPr="0037598A" w:rsidRDefault="0037598A" w:rsidP="0037598A">
      <w:pPr>
        <w:spacing w:after="0" w:line="240" w:lineRule="auto"/>
        <w:ind w:left="720"/>
        <w:rPr>
          <w:rFonts w:ascii="Times New Roman" w:hAnsi="Times New Roman" w:cs="Times New Roman"/>
        </w:rPr>
      </w:pPr>
      <w:r w:rsidRPr="0037598A">
        <w:rPr>
          <w:rFonts w:ascii="Times New Roman" w:hAnsi="Times New Roman" w:cs="Times New Roman"/>
        </w:rPr>
        <w:t xml:space="preserve">(1) A State employee who is not a career State employee as defined by this Chapter. </w:t>
      </w:r>
    </w:p>
    <w:p w14:paraId="3B0B0F97" w14:textId="77777777" w:rsidR="0037598A" w:rsidRPr="0037598A" w:rsidRDefault="0037598A" w:rsidP="0037598A">
      <w:pPr>
        <w:spacing w:after="0" w:line="240" w:lineRule="auto"/>
        <w:ind w:left="720"/>
        <w:rPr>
          <w:rFonts w:ascii="Times New Roman" w:hAnsi="Times New Roman" w:cs="Times New Roman"/>
        </w:rPr>
      </w:pPr>
      <w:r w:rsidRPr="0037598A">
        <w:rPr>
          <w:rFonts w:ascii="Times New Roman" w:hAnsi="Times New Roman" w:cs="Times New Roman"/>
        </w:rPr>
        <w:t xml:space="preserve">(2) One confidential assistant and two confidential secretaries for each elected or appointed department head and one confidential secretary for each chief deputy or chief administrative assistant. </w:t>
      </w:r>
    </w:p>
    <w:p w14:paraId="3261F976" w14:textId="77777777" w:rsidR="0037598A" w:rsidRPr="0037598A" w:rsidRDefault="0037598A" w:rsidP="0037598A">
      <w:pPr>
        <w:spacing w:after="0" w:line="240" w:lineRule="auto"/>
        <w:ind w:left="720"/>
        <w:rPr>
          <w:rFonts w:ascii="Times New Roman" w:hAnsi="Times New Roman" w:cs="Times New Roman"/>
        </w:rPr>
      </w:pPr>
      <w:r w:rsidRPr="0037598A">
        <w:rPr>
          <w:rFonts w:ascii="Times New Roman" w:hAnsi="Times New Roman" w:cs="Times New Roman"/>
        </w:rPr>
        <w:t>(3) Employees in exempt policymaking positions designated pursuant to subsection (d) of this section.</w:t>
      </w:r>
    </w:p>
    <w:p w14:paraId="73ABE307" w14:textId="77777777" w:rsidR="0037598A" w:rsidRPr="0037598A" w:rsidRDefault="0037598A" w:rsidP="0037598A">
      <w:pPr>
        <w:spacing w:after="0" w:line="240" w:lineRule="auto"/>
        <w:ind w:firstLine="720"/>
        <w:rPr>
          <w:rFonts w:ascii="Times New Roman" w:hAnsi="Times New Roman" w:cs="Times New Roman"/>
        </w:rPr>
      </w:pPr>
      <w:r w:rsidRPr="0037598A">
        <w:rPr>
          <w:rFonts w:ascii="Times New Roman" w:hAnsi="Times New Roman" w:cs="Times New Roman"/>
        </w:rPr>
        <w:t>. . .</w:t>
      </w:r>
    </w:p>
    <w:p w14:paraId="24318878" w14:textId="77777777" w:rsidR="0037598A" w:rsidRPr="0037598A" w:rsidRDefault="0037598A" w:rsidP="0037598A">
      <w:pPr>
        <w:spacing w:after="0" w:line="240" w:lineRule="auto"/>
        <w:rPr>
          <w:rFonts w:ascii="Times New Roman" w:hAnsi="Times New Roman" w:cs="Times New Roman"/>
        </w:rPr>
      </w:pPr>
    </w:p>
    <w:p w14:paraId="1B4D2010"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(c1) Except as to Articles 6 and 7 [</w:t>
      </w:r>
      <w:r w:rsidRPr="0037598A">
        <w:rPr>
          <w:rFonts w:ascii="Times New Roman" w:hAnsi="Times New Roman" w:cs="Times New Roman"/>
          <w:i/>
          <w:iCs/>
        </w:rPr>
        <w:t>EEO and personnel records</w:t>
      </w:r>
      <w:r w:rsidRPr="0037598A">
        <w:rPr>
          <w:rFonts w:ascii="Times New Roman" w:hAnsi="Times New Roman" w:cs="Times New Roman"/>
        </w:rPr>
        <w:t>] of this Chapter, this Chapter does not apply to any of the following:  . . .</w:t>
      </w:r>
    </w:p>
    <w:p w14:paraId="78D3CFB0" w14:textId="77777777" w:rsidR="0037598A" w:rsidRPr="0037598A" w:rsidRDefault="0037598A" w:rsidP="0037598A">
      <w:pPr>
        <w:spacing w:after="0" w:line="240" w:lineRule="auto"/>
        <w:rPr>
          <w:rFonts w:ascii="Times New Roman" w:hAnsi="Times New Roman" w:cs="Times New Roman"/>
        </w:rPr>
      </w:pPr>
    </w:p>
    <w:p w14:paraId="70D396E2" w14:textId="77777777" w:rsidR="0037598A" w:rsidRPr="0037598A" w:rsidRDefault="0037598A" w:rsidP="0037598A">
      <w:pPr>
        <w:spacing w:after="0" w:line="240" w:lineRule="auto"/>
        <w:ind w:left="720"/>
        <w:rPr>
          <w:rFonts w:ascii="Times New Roman" w:hAnsi="Times New Roman" w:cs="Times New Roman"/>
        </w:rPr>
      </w:pPr>
      <w:r w:rsidRPr="0037598A">
        <w:rPr>
          <w:rFonts w:ascii="Times New Roman" w:hAnsi="Times New Roman" w:cs="Times New Roman"/>
        </w:rPr>
        <w:t>(8) Instructional and research staff, finance professionals, business office professionals, auditor professionals, information technology professionals, physicians, and dentists of The University of North Carolina, including the faculty of the North Carolina School of Science and Mathematics. . . .</w:t>
      </w:r>
    </w:p>
    <w:p w14:paraId="0050575D" w14:textId="77777777" w:rsidR="0037598A" w:rsidRPr="0037598A" w:rsidRDefault="0037598A" w:rsidP="0037598A">
      <w:pPr>
        <w:spacing w:after="0" w:line="240" w:lineRule="auto"/>
        <w:ind w:left="720"/>
        <w:rPr>
          <w:rFonts w:ascii="Times New Roman" w:hAnsi="Times New Roman" w:cs="Times New Roman"/>
        </w:rPr>
      </w:pPr>
      <w:r w:rsidRPr="0037598A">
        <w:rPr>
          <w:rFonts w:ascii="Times New Roman" w:hAnsi="Times New Roman" w:cs="Times New Roman"/>
        </w:rPr>
        <w:t xml:space="preserve">(9) Employees whose salaries are fixed under the authority vested in the Board of Governors of The University of North Carolina by the provisions of G.S. 116-11(4), 116-11(5), and 116-14. </w:t>
      </w:r>
    </w:p>
    <w:p w14:paraId="2534369F" w14:textId="77777777" w:rsidR="0037598A" w:rsidRPr="0037598A" w:rsidRDefault="0037598A" w:rsidP="0037598A">
      <w:pPr>
        <w:spacing w:after="0" w:line="240" w:lineRule="auto"/>
        <w:rPr>
          <w:rFonts w:ascii="Times New Roman" w:hAnsi="Times New Roman" w:cs="Times New Roman"/>
        </w:rPr>
      </w:pPr>
    </w:p>
    <w:p w14:paraId="5F202F34"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 xml:space="preserve">(c2) This Chapter does not apply to any of the following: </w:t>
      </w:r>
    </w:p>
    <w:p w14:paraId="70BFC404" w14:textId="77777777" w:rsidR="0037598A" w:rsidRPr="0037598A" w:rsidRDefault="0037598A" w:rsidP="0037598A">
      <w:pPr>
        <w:spacing w:after="0" w:line="240" w:lineRule="auto"/>
        <w:rPr>
          <w:rFonts w:ascii="Times New Roman" w:hAnsi="Times New Roman" w:cs="Times New Roman"/>
        </w:rPr>
      </w:pPr>
    </w:p>
    <w:p w14:paraId="07CFBD66" w14:textId="77777777" w:rsidR="0037598A" w:rsidRPr="0037598A" w:rsidRDefault="0037598A" w:rsidP="0037598A">
      <w:pPr>
        <w:spacing w:after="0" w:line="240" w:lineRule="auto"/>
        <w:ind w:left="720"/>
        <w:rPr>
          <w:rFonts w:ascii="Times New Roman" w:hAnsi="Times New Roman" w:cs="Times New Roman"/>
        </w:rPr>
      </w:pPr>
      <w:r w:rsidRPr="0037598A">
        <w:rPr>
          <w:rFonts w:ascii="Times New Roman" w:hAnsi="Times New Roman" w:cs="Times New Roman"/>
        </w:rPr>
        <w:lastRenderedPageBreak/>
        <w:t xml:space="preserve">(1) Public school superintendents, principals, teachers, and other public school employees. </w:t>
      </w:r>
    </w:p>
    <w:p w14:paraId="47A1B3EB" w14:textId="77777777" w:rsidR="0037598A" w:rsidRPr="0037598A" w:rsidRDefault="0037598A" w:rsidP="0037598A">
      <w:pPr>
        <w:spacing w:after="0" w:line="240" w:lineRule="auto"/>
        <w:ind w:left="720"/>
        <w:rPr>
          <w:rFonts w:ascii="Times New Roman" w:hAnsi="Times New Roman" w:cs="Times New Roman"/>
        </w:rPr>
      </w:pPr>
      <w:r w:rsidRPr="0037598A">
        <w:rPr>
          <w:rFonts w:ascii="Times New Roman" w:hAnsi="Times New Roman" w:cs="Times New Roman"/>
        </w:rPr>
        <w:t>. . .</w:t>
      </w:r>
    </w:p>
    <w:p w14:paraId="21800B40" w14:textId="77777777" w:rsidR="0037598A" w:rsidRPr="0037598A" w:rsidRDefault="0037598A" w:rsidP="0037598A">
      <w:pPr>
        <w:spacing w:after="0" w:line="240" w:lineRule="auto"/>
        <w:ind w:left="720"/>
        <w:rPr>
          <w:rFonts w:ascii="Times New Roman" w:hAnsi="Times New Roman" w:cs="Times New Roman"/>
        </w:rPr>
      </w:pPr>
      <w:r w:rsidRPr="0037598A">
        <w:rPr>
          <w:rFonts w:ascii="Times New Roman" w:hAnsi="Times New Roman" w:cs="Times New Roman"/>
        </w:rPr>
        <w:t>(3) Employees of community colleges whose salaries are fixed in accordance with G.S. 115D-5 and G.S. 115D-20 and employees of the Community Colleges System Office whose salaries are fixed by the State Board of Community Colleges in accordance with G.S. 115D-3.</w:t>
      </w:r>
    </w:p>
    <w:p w14:paraId="483C57AA" w14:textId="77777777" w:rsidR="0037598A" w:rsidRPr="0037598A" w:rsidRDefault="0037598A" w:rsidP="0037598A">
      <w:pPr>
        <w:spacing w:after="0" w:line="240" w:lineRule="auto"/>
        <w:rPr>
          <w:rFonts w:ascii="Times New Roman" w:hAnsi="Times New Roman" w:cs="Times New Roman"/>
        </w:rPr>
      </w:pPr>
    </w:p>
    <w:p w14:paraId="4DFBDE30"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 . .</w:t>
      </w:r>
    </w:p>
    <w:p w14:paraId="5287B193" w14:textId="77777777" w:rsidR="0037598A" w:rsidRPr="0037598A" w:rsidRDefault="0037598A" w:rsidP="0037598A">
      <w:pPr>
        <w:spacing w:after="0" w:line="240" w:lineRule="auto"/>
        <w:rPr>
          <w:rFonts w:ascii="Times New Roman" w:hAnsi="Times New Roman" w:cs="Times New Roman"/>
        </w:rPr>
      </w:pPr>
    </w:p>
    <w:p w14:paraId="3AB441F3"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(c5) Notwithstanding any other provision of this Chapter, Article 14 [</w:t>
      </w:r>
      <w:r w:rsidRPr="0037598A">
        <w:rPr>
          <w:rFonts w:ascii="Times New Roman" w:hAnsi="Times New Roman" w:cs="Times New Roman"/>
          <w:i/>
          <w:iCs/>
        </w:rPr>
        <w:t>whistleblower protection</w:t>
      </w:r>
      <w:r w:rsidRPr="0037598A">
        <w:rPr>
          <w:rFonts w:ascii="Times New Roman" w:hAnsi="Times New Roman" w:cs="Times New Roman"/>
        </w:rPr>
        <w:t>] of this Chapter applies to all State employees, public school employees, and community college employees.</w:t>
      </w:r>
    </w:p>
    <w:p w14:paraId="3052D02F" w14:textId="77777777" w:rsidR="0037598A" w:rsidRPr="0037598A" w:rsidRDefault="0037598A" w:rsidP="0037598A">
      <w:pPr>
        <w:spacing w:after="0" w:line="240" w:lineRule="auto"/>
        <w:rPr>
          <w:rFonts w:ascii="Times New Roman" w:hAnsi="Times New Roman" w:cs="Times New Roman"/>
        </w:rPr>
      </w:pPr>
    </w:p>
    <w:p w14:paraId="74096ACC"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b/>
          <w:bCs/>
        </w:rPr>
        <w:t>§ 126-35.  Just cause; disciplinary actions for State employees</w:t>
      </w:r>
      <w:r w:rsidRPr="0037598A">
        <w:rPr>
          <w:rFonts w:ascii="Times New Roman" w:hAnsi="Times New Roman" w:cs="Times New Roman"/>
        </w:rPr>
        <w:t xml:space="preserve">. </w:t>
      </w:r>
    </w:p>
    <w:p w14:paraId="2852F824" w14:textId="77777777" w:rsidR="0037598A" w:rsidRPr="0037598A" w:rsidRDefault="0037598A" w:rsidP="0037598A">
      <w:pPr>
        <w:spacing w:after="0" w:line="240" w:lineRule="auto"/>
        <w:rPr>
          <w:rFonts w:ascii="Times New Roman" w:hAnsi="Times New Roman" w:cs="Times New Roman"/>
        </w:rPr>
      </w:pPr>
    </w:p>
    <w:p w14:paraId="12064370"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 xml:space="preserve">(a) No career State employee subject to the North Carolina Human Resources Act shall be discharged, suspended, or demoted for disciplinary reasons, except for just cause. In cases of such disciplinary action, the employee shall, before the action is taken, be furnished with a statement in writing setting forth the specific acts or omissions that are the reasons for the disciplinary action and the employee's appeal rights. The employee shall be permitted 15 days from the date the statement is delivered to appeal to the head of the agency through the agency grievance procedure for a final agency decision. However, an employee may be suspended without warning for causes relating to personal conduct detrimental to State service, pending the giving of written reasons, in order to avoid undue disruption of work or to protect the safety of persons or property or for other serious reasons. If the employee is not satisfied with the final agency decision or is unable, within a reasonable period of time, to obtain a final agency decision, the employee may appeal to the Office of Administrative Hearings. Such appeal shall be filed not later than 30 days after receipt of notice of the final agency decision. The State Human Resources Commission may adopt, subject to the approval of the Governor, rules that define just cause. </w:t>
      </w:r>
    </w:p>
    <w:p w14:paraId="1555E8AC" w14:textId="77777777" w:rsidR="0037598A" w:rsidRPr="0037598A" w:rsidRDefault="0037598A" w:rsidP="0037598A">
      <w:pPr>
        <w:spacing w:after="0" w:line="240" w:lineRule="auto"/>
        <w:rPr>
          <w:rFonts w:ascii="Times New Roman" w:hAnsi="Times New Roman" w:cs="Times New Roman"/>
        </w:rPr>
      </w:pPr>
    </w:p>
    <w:p w14:paraId="1BCBBED1" w14:textId="77777777" w:rsidR="0037598A" w:rsidRPr="0037598A" w:rsidRDefault="0037598A" w:rsidP="0037598A">
      <w:pPr>
        <w:spacing w:after="0" w:line="240" w:lineRule="auto"/>
        <w:rPr>
          <w:rFonts w:ascii="Times New Roman" w:hAnsi="Times New Roman" w:cs="Times New Roman"/>
        </w:rPr>
      </w:pPr>
    </w:p>
    <w:p w14:paraId="72641178" w14:textId="77777777" w:rsidR="0037598A" w:rsidRPr="0037598A" w:rsidRDefault="0037598A" w:rsidP="0037598A">
      <w:pPr>
        <w:spacing w:after="0" w:line="240" w:lineRule="auto"/>
        <w:jc w:val="center"/>
        <w:rPr>
          <w:rFonts w:ascii="Times New Roman" w:hAnsi="Times New Roman" w:cs="Times New Roman"/>
          <w:sz w:val="28"/>
          <w:szCs w:val="28"/>
          <w:u w:val="single"/>
        </w:rPr>
      </w:pPr>
      <w:r w:rsidRPr="0037598A">
        <w:rPr>
          <w:rFonts w:ascii="Times New Roman" w:hAnsi="Times New Roman" w:cs="Times New Roman"/>
          <w:sz w:val="28"/>
          <w:szCs w:val="28"/>
          <w:u w:val="single"/>
        </w:rPr>
        <w:t>The University of North Carolina</w:t>
      </w:r>
    </w:p>
    <w:p w14:paraId="03FF159E" w14:textId="77777777" w:rsidR="0037598A" w:rsidRPr="0037598A" w:rsidRDefault="0037598A" w:rsidP="0037598A">
      <w:pPr>
        <w:spacing w:after="0" w:line="240" w:lineRule="auto"/>
        <w:rPr>
          <w:rFonts w:ascii="Times New Roman" w:hAnsi="Times New Roman" w:cs="Times New Roman"/>
        </w:rPr>
      </w:pPr>
    </w:p>
    <w:p w14:paraId="6BED0CF6" w14:textId="77777777" w:rsidR="0037598A" w:rsidRPr="0037598A" w:rsidRDefault="0037598A" w:rsidP="0037598A">
      <w:pPr>
        <w:spacing w:after="0" w:line="240" w:lineRule="auto"/>
        <w:rPr>
          <w:rFonts w:ascii="Times New Roman" w:hAnsi="Times New Roman" w:cs="Times New Roman"/>
        </w:rPr>
      </w:pPr>
    </w:p>
    <w:p w14:paraId="00172CE9" w14:textId="77777777" w:rsidR="0037598A" w:rsidRPr="0037598A" w:rsidRDefault="0037598A" w:rsidP="0037598A">
      <w:pPr>
        <w:spacing w:after="0" w:line="240" w:lineRule="auto"/>
        <w:rPr>
          <w:rFonts w:ascii="Times New Roman" w:hAnsi="Times New Roman" w:cs="Times New Roman"/>
          <w:b/>
          <w:bCs/>
        </w:rPr>
      </w:pPr>
      <w:r w:rsidRPr="0037598A">
        <w:rPr>
          <w:rFonts w:ascii="Times New Roman" w:hAnsi="Times New Roman" w:cs="Times New Roman"/>
          <w:b/>
          <w:bCs/>
        </w:rPr>
        <w:t xml:space="preserve">§ 116-14.  President and staff. </w:t>
      </w:r>
    </w:p>
    <w:p w14:paraId="14229DB8" w14:textId="77777777" w:rsidR="0037598A" w:rsidRPr="0037598A" w:rsidRDefault="0037598A" w:rsidP="0037598A">
      <w:pPr>
        <w:spacing w:after="0" w:line="240" w:lineRule="auto"/>
        <w:rPr>
          <w:rFonts w:ascii="Times New Roman" w:hAnsi="Times New Roman" w:cs="Times New Roman"/>
        </w:rPr>
      </w:pPr>
    </w:p>
    <w:p w14:paraId="0F0962BB"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(a) The Board shall elect a President of the University of North Carolina. The President shall be the chief administrative officer of the University.</w:t>
      </w:r>
    </w:p>
    <w:p w14:paraId="761D5A9E" w14:textId="77777777" w:rsidR="0037598A" w:rsidRPr="0037598A" w:rsidRDefault="0037598A" w:rsidP="0037598A">
      <w:pPr>
        <w:spacing w:after="0" w:line="240" w:lineRule="auto"/>
        <w:rPr>
          <w:rFonts w:ascii="Times New Roman" w:hAnsi="Times New Roman" w:cs="Times New Roman"/>
        </w:rPr>
      </w:pPr>
    </w:p>
    <w:p w14:paraId="5F2A605E" w14:textId="77777777" w:rsidR="0037598A" w:rsidRPr="0037598A" w:rsidRDefault="0037598A" w:rsidP="0037598A">
      <w:pPr>
        <w:spacing w:after="0" w:line="240" w:lineRule="auto"/>
        <w:rPr>
          <w:rFonts w:ascii="Times New Roman" w:hAnsi="Times New Roman" w:cs="Times New Roman"/>
        </w:rPr>
      </w:pPr>
    </w:p>
    <w:p w14:paraId="2EA46587" w14:textId="73D7B851" w:rsidR="009675B9" w:rsidRDefault="009675B9">
      <w:pPr>
        <w:rPr>
          <w:rFonts w:ascii="Times New Roman" w:hAnsi="Times New Roman" w:cs="Times New Roman"/>
          <w:b/>
          <w:bCs/>
        </w:rPr>
      </w:pPr>
      <w:r>
        <w:rPr>
          <w:rFonts w:ascii="Times New Roman" w:hAnsi="Times New Roman" w:cs="Times New Roman"/>
          <w:b/>
          <w:bCs/>
        </w:rPr>
        <w:br w:type="page"/>
      </w:r>
    </w:p>
    <w:p w14:paraId="16EB13F2" w14:textId="63AF3B10"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b/>
          <w:bCs/>
        </w:rPr>
        <w:lastRenderedPageBreak/>
        <w:t>§ 116-34.  Duties of chancellor of institution</w:t>
      </w:r>
      <w:r w:rsidRPr="0037598A">
        <w:rPr>
          <w:rFonts w:ascii="Times New Roman" w:hAnsi="Times New Roman" w:cs="Times New Roman"/>
        </w:rPr>
        <w:t>. . . .</w:t>
      </w:r>
    </w:p>
    <w:p w14:paraId="5368D8FE" w14:textId="77777777" w:rsidR="0037598A" w:rsidRPr="0037598A" w:rsidRDefault="0037598A" w:rsidP="0037598A">
      <w:pPr>
        <w:spacing w:after="0" w:line="240" w:lineRule="auto"/>
        <w:rPr>
          <w:rFonts w:ascii="Times New Roman" w:hAnsi="Times New Roman" w:cs="Times New Roman"/>
        </w:rPr>
      </w:pPr>
    </w:p>
    <w:p w14:paraId="78597D4F" w14:textId="77777777" w:rsidR="0037598A" w:rsidRPr="0037598A" w:rsidRDefault="0037598A" w:rsidP="0037598A">
      <w:pPr>
        <w:spacing w:after="0" w:line="240" w:lineRule="auto"/>
        <w:rPr>
          <w:rFonts w:ascii="Times New Roman" w:hAnsi="Times New Roman" w:cs="Times New Roman"/>
        </w:rPr>
      </w:pPr>
      <w:r w:rsidRPr="0037598A">
        <w:rPr>
          <w:rFonts w:ascii="Times New Roman" w:hAnsi="Times New Roman" w:cs="Times New Roman"/>
        </w:rPr>
        <w:t>(d) Subject to policies prescribed by the Board of Governors and by the board of trustees, the chancellor shall make recommendations for the appointment of personnel within the institution and for the development of educational programs.</w:t>
      </w:r>
    </w:p>
    <w:p w14:paraId="6FA8A53E" w14:textId="77777777" w:rsidR="0037598A" w:rsidRDefault="0037598A" w:rsidP="0037598A">
      <w:pPr>
        <w:spacing w:after="0" w:line="240" w:lineRule="auto"/>
        <w:rPr>
          <w:rFonts w:ascii="Times New Roman" w:hAnsi="Times New Roman" w:cs="Times New Roman"/>
        </w:rPr>
      </w:pPr>
    </w:p>
    <w:p w14:paraId="1E2D42DF" w14:textId="496B1A83" w:rsidR="009675B9" w:rsidRDefault="009675B9">
      <w:pPr>
        <w:rPr>
          <w:rFonts w:ascii="Times New Roman" w:hAnsi="Times New Roman" w:cs="Times New Roman"/>
        </w:rPr>
      </w:pPr>
      <w:r>
        <w:rPr>
          <w:rFonts w:ascii="Times New Roman" w:hAnsi="Times New Roman" w:cs="Times New Roman"/>
        </w:rPr>
        <w:br w:type="page"/>
      </w:r>
    </w:p>
    <w:p w14:paraId="0C962C38" w14:textId="77777777" w:rsidR="00FF57FD" w:rsidRPr="00FF57FD" w:rsidRDefault="00FF57FD" w:rsidP="00FF57FD">
      <w:pPr>
        <w:spacing w:after="0" w:line="240" w:lineRule="auto"/>
        <w:jc w:val="center"/>
        <w:rPr>
          <w:rFonts w:ascii="Times New Roman" w:hAnsi="Times New Roman" w:cs="Times New Roman"/>
          <w:b/>
          <w:bCs/>
          <w:sz w:val="44"/>
          <w:szCs w:val="44"/>
        </w:rPr>
      </w:pPr>
      <w:r w:rsidRPr="00FF57FD">
        <w:rPr>
          <w:rFonts w:ascii="Times New Roman" w:hAnsi="Times New Roman" w:cs="Times New Roman"/>
          <w:b/>
          <w:bCs/>
          <w:sz w:val="44"/>
          <w:szCs w:val="44"/>
        </w:rPr>
        <w:lastRenderedPageBreak/>
        <w:t>An Overview of Antidiscrimination Law</w:t>
      </w:r>
    </w:p>
    <w:p w14:paraId="782B0821" w14:textId="77777777" w:rsidR="00FF57FD" w:rsidRPr="00FF57FD" w:rsidRDefault="00FF57FD" w:rsidP="00FF57FD">
      <w:pPr>
        <w:spacing w:after="0" w:line="240" w:lineRule="auto"/>
        <w:rPr>
          <w:rFonts w:ascii="Times New Roman" w:hAnsi="Times New Roman" w:cs="Times New Roman"/>
          <w:b/>
          <w:bCs/>
        </w:rPr>
      </w:pPr>
    </w:p>
    <w:p w14:paraId="25E3C523" w14:textId="77777777" w:rsidR="00FF57FD" w:rsidRPr="00FF57FD" w:rsidRDefault="00FF57FD" w:rsidP="00FF57FD">
      <w:pPr>
        <w:spacing w:after="0" w:line="240" w:lineRule="auto"/>
        <w:rPr>
          <w:rFonts w:ascii="Times New Roman" w:hAnsi="Times New Roman" w:cs="Times New Roman"/>
          <w:b/>
          <w:bCs/>
        </w:rPr>
      </w:pPr>
    </w:p>
    <w:p w14:paraId="2E0E9FF7" w14:textId="77777777" w:rsidR="00FF57FD" w:rsidRPr="00FF57FD" w:rsidRDefault="00FF57FD" w:rsidP="00FF57FD">
      <w:pPr>
        <w:spacing w:after="0" w:line="240" w:lineRule="auto"/>
        <w:rPr>
          <w:rFonts w:ascii="Times New Roman" w:hAnsi="Times New Roman" w:cs="Times New Roman"/>
          <w:b/>
          <w:bCs/>
        </w:rPr>
      </w:pPr>
    </w:p>
    <w:p w14:paraId="021B8ED1" w14:textId="77777777" w:rsidR="00FF57FD" w:rsidRPr="00FF57FD" w:rsidRDefault="00FF57FD" w:rsidP="00FF57FD">
      <w:pPr>
        <w:spacing w:after="0" w:line="240" w:lineRule="auto"/>
        <w:rPr>
          <w:rFonts w:ascii="Times New Roman" w:hAnsi="Times New Roman" w:cs="Times New Roman"/>
        </w:rPr>
      </w:pPr>
    </w:p>
    <w:p w14:paraId="7642915C" w14:textId="77777777" w:rsidR="00FF57FD" w:rsidRPr="00FF57FD" w:rsidRDefault="00FF57FD" w:rsidP="00FF57FD">
      <w:pPr>
        <w:spacing w:after="0" w:line="240" w:lineRule="auto"/>
        <w:jc w:val="center"/>
        <w:rPr>
          <w:rFonts w:ascii="Times New Roman" w:hAnsi="Times New Roman" w:cs="Times New Roman"/>
          <w:b/>
        </w:rPr>
      </w:pPr>
      <w:r w:rsidRPr="00FF57FD">
        <w:rPr>
          <w:rFonts w:ascii="Times New Roman" w:hAnsi="Times New Roman" w:cs="Times New Roman"/>
          <w:b/>
        </w:rPr>
        <w:t>Title VII of the Civil Rights Act of 1964</w:t>
      </w:r>
    </w:p>
    <w:p w14:paraId="72CF616B" w14:textId="77777777" w:rsidR="00FF57FD" w:rsidRPr="00FF57FD" w:rsidRDefault="00FF57FD" w:rsidP="00FF57FD">
      <w:pPr>
        <w:spacing w:after="0" w:line="240" w:lineRule="auto"/>
        <w:rPr>
          <w:rFonts w:ascii="Times New Roman" w:hAnsi="Times New Roman" w:cs="Times New Roman"/>
        </w:rPr>
      </w:pPr>
    </w:p>
    <w:p w14:paraId="18D9457A" w14:textId="77777777" w:rsidR="00FF57FD" w:rsidRPr="00FF57FD" w:rsidRDefault="00FF57FD" w:rsidP="00FF57FD">
      <w:pPr>
        <w:tabs>
          <w:tab w:val="left" w:pos="0"/>
          <w:tab w:val="left" w:pos="1296"/>
          <w:tab w:val="left" w:pos="2448"/>
          <w:tab w:val="left" w:pos="3600"/>
          <w:tab w:val="left" w:pos="4752"/>
          <w:tab w:val="left" w:pos="5904"/>
          <w:tab w:val="left" w:pos="7056"/>
          <w:tab w:val="left" w:pos="8208"/>
          <w:tab w:val="left" w:pos="9360"/>
          <w:tab w:val="left" w:pos="10512"/>
        </w:tabs>
        <w:suppressAutoHyphens/>
        <w:spacing w:after="0" w:line="240" w:lineRule="auto"/>
        <w:ind w:firstLine="720"/>
        <w:rPr>
          <w:rFonts w:ascii="Times New Roman" w:hAnsi="Times New Roman" w:cs="Times New Roman"/>
        </w:rPr>
      </w:pPr>
      <w:r w:rsidRPr="00FF57FD">
        <w:rPr>
          <w:rFonts w:ascii="Times New Roman" w:hAnsi="Times New Roman" w:cs="Times New Roman"/>
        </w:rPr>
        <w:t>The bedrock principle of employment law—in public and private employment—is “employment at will.”  It is the basic rule of the relationship between employer and employee in North Carolina.  Under that principle, an employer is free to decide among all job applicants which one it will offer employment and to reject all others, for any reason that suits the employer.  Similarly, the employer is free to decide at any time to dismiss any employee already working for the employer, for any reason or for no reason at all.  The employer is free to demote, suspend, or transfer the employee and to raise or lower his or her pay.</w:t>
      </w:r>
      <w:r w:rsidRPr="00FF57FD">
        <w:rPr>
          <w:rStyle w:val="FootnoteReference"/>
          <w:rFonts w:ascii="Times New Roman" w:hAnsi="Times New Roman" w:cs="Times New Roman"/>
        </w:rPr>
        <w:footnoteReference w:id="1"/>
      </w:r>
    </w:p>
    <w:p w14:paraId="624B19AF" w14:textId="77777777" w:rsidR="00FF57FD" w:rsidRPr="00FF57FD" w:rsidRDefault="00FF57FD" w:rsidP="00FF57FD">
      <w:pPr>
        <w:tabs>
          <w:tab w:val="left" w:pos="1296"/>
          <w:tab w:val="left" w:pos="2448"/>
          <w:tab w:val="left" w:pos="3600"/>
          <w:tab w:val="left" w:pos="4752"/>
          <w:tab w:val="left" w:pos="5904"/>
          <w:tab w:val="left" w:pos="7056"/>
          <w:tab w:val="left" w:pos="8208"/>
          <w:tab w:val="left" w:pos="9360"/>
          <w:tab w:val="left" w:pos="10512"/>
        </w:tabs>
        <w:suppressAutoHyphens/>
        <w:spacing w:after="0" w:line="240" w:lineRule="auto"/>
        <w:rPr>
          <w:rFonts w:ascii="Times New Roman" w:hAnsi="Times New Roman" w:cs="Times New Roman"/>
        </w:rPr>
      </w:pPr>
    </w:p>
    <w:p w14:paraId="76252989" w14:textId="77777777" w:rsidR="00FF57FD" w:rsidRPr="00FF57FD" w:rsidRDefault="00FF57FD" w:rsidP="00FF57FD">
      <w:pPr>
        <w:suppressAutoHyphens/>
        <w:spacing w:after="0" w:line="240" w:lineRule="auto"/>
        <w:rPr>
          <w:rFonts w:ascii="Times New Roman" w:hAnsi="Times New Roman" w:cs="Times New Roman"/>
        </w:rPr>
      </w:pPr>
      <w:r w:rsidRPr="00FF57FD">
        <w:rPr>
          <w:rFonts w:ascii="Times New Roman" w:hAnsi="Times New Roman" w:cs="Times New Roman"/>
        </w:rPr>
        <w:tab/>
        <w:t>In 1964 Congress, in Title VII of the Civil Rights Act, created the law’s greatest exception to employment at will, the first major exception to apply to employment in North Carolina.  At first, Title VII did not apply to public employers.  Its coverage was expanded to public employers in 1972.</w:t>
      </w:r>
    </w:p>
    <w:p w14:paraId="0AB75A3E" w14:textId="77777777" w:rsidR="00FF57FD" w:rsidRPr="00FF57FD" w:rsidRDefault="00FF57FD" w:rsidP="00FF57FD">
      <w:pPr>
        <w:suppressAutoHyphens/>
        <w:spacing w:after="0" w:line="240" w:lineRule="auto"/>
        <w:rPr>
          <w:rFonts w:ascii="Times New Roman" w:hAnsi="Times New Roman" w:cs="Times New Roman"/>
        </w:rPr>
      </w:pPr>
    </w:p>
    <w:p w14:paraId="370DBE89" w14:textId="77777777" w:rsidR="00FF57FD" w:rsidRPr="00FF57FD" w:rsidRDefault="00FF57FD" w:rsidP="00FF57FD">
      <w:pPr>
        <w:suppressAutoHyphens/>
        <w:spacing w:after="0" w:line="240" w:lineRule="auto"/>
        <w:rPr>
          <w:rFonts w:ascii="Times New Roman" w:hAnsi="Times New Roman" w:cs="Times New Roman"/>
        </w:rPr>
      </w:pPr>
      <w:r w:rsidRPr="00FF57FD">
        <w:rPr>
          <w:rFonts w:ascii="Times New Roman" w:hAnsi="Times New Roman" w:cs="Times New Roman"/>
        </w:rPr>
        <w:tab/>
        <w:t>Title VII prohibits discrimination in hiring, firing, compensation, or in the “terms, conditions, or privileges of employment” on five grounds:</w:t>
      </w:r>
    </w:p>
    <w:p w14:paraId="25536896" w14:textId="77777777" w:rsidR="00FF57FD" w:rsidRPr="00FF57FD" w:rsidRDefault="00FF57FD" w:rsidP="00FF57FD">
      <w:pPr>
        <w:tabs>
          <w:tab w:val="left" w:pos="0"/>
          <w:tab w:val="left" w:pos="1296"/>
          <w:tab w:val="left" w:pos="2448"/>
          <w:tab w:val="left" w:pos="3600"/>
          <w:tab w:val="left" w:pos="4752"/>
          <w:tab w:val="left" w:pos="5904"/>
          <w:tab w:val="left" w:pos="7056"/>
          <w:tab w:val="left" w:pos="8208"/>
          <w:tab w:val="left" w:pos="9360"/>
          <w:tab w:val="left" w:pos="10512"/>
        </w:tabs>
        <w:suppressAutoHyphens/>
        <w:spacing w:after="0" w:line="240" w:lineRule="auto"/>
        <w:rPr>
          <w:rFonts w:ascii="Times New Roman" w:hAnsi="Times New Roman" w:cs="Times New Roman"/>
        </w:rPr>
      </w:pPr>
    </w:p>
    <w:p w14:paraId="0BDFFBAA" w14:textId="77777777" w:rsidR="00FF57FD" w:rsidRPr="00FF57FD" w:rsidRDefault="00FF57FD" w:rsidP="00FF57FD">
      <w:pPr>
        <w:tabs>
          <w:tab w:val="left" w:pos="0"/>
          <w:tab w:val="left" w:pos="1296"/>
          <w:tab w:val="left" w:pos="2448"/>
          <w:tab w:val="left" w:pos="3600"/>
          <w:tab w:val="left" w:pos="4752"/>
          <w:tab w:val="left" w:pos="5904"/>
          <w:tab w:val="left" w:pos="7056"/>
          <w:tab w:val="left" w:pos="8208"/>
          <w:tab w:val="left" w:pos="9360"/>
          <w:tab w:val="left" w:pos="10512"/>
        </w:tabs>
        <w:suppressAutoHyphens/>
        <w:spacing w:after="0" w:line="240" w:lineRule="auto"/>
        <w:ind w:left="1296"/>
        <w:rPr>
          <w:rFonts w:ascii="Times New Roman" w:hAnsi="Times New Roman" w:cs="Times New Roman"/>
        </w:rPr>
      </w:pPr>
      <w:r w:rsidRPr="00FF57FD">
        <w:rPr>
          <w:rFonts w:ascii="Times New Roman" w:hAnsi="Times New Roman" w:cs="Times New Roman"/>
        </w:rPr>
        <w:t>race</w:t>
      </w:r>
    </w:p>
    <w:p w14:paraId="2AC672F0" w14:textId="77777777" w:rsidR="00FF57FD" w:rsidRPr="00FF57FD" w:rsidRDefault="00FF57FD" w:rsidP="00FF57FD">
      <w:pPr>
        <w:tabs>
          <w:tab w:val="left" w:pos="0"/>
          <w:tab w:val="left" w:pos="1296"/>
          <w:tab w:val="left" w:pos="2448"/>
          <w:tab w:val="left" w:pos="3600"/>
          <w:tab w:val="left" w:pos="4752"/>
          <w:tab w:val="left" w:pos="5904"/>
          <w:tab w:val="left" w:pos="7056"/>
          <w:tab w:val="left" w:pos="8208"/>
          <w:tab w:val="left" w:pos="9360"/>
          <w:tab w:val="left" w:pos="10512"/>
        </w:tabs>
        <w:suppressAutoHyphens/>
        <w:spacing w:after="0" w:line="240" w:lineRule="auto"/>
        <w:ind w:left="1296"/>
        <w:rPr>
          <w:rFonts w:ascii="Times New Roman" w:hAnsi="Times New Roman" w:cs="Times New Roman"/>
        </w:rPr>
      </w:pPr>
      <w:r w:rsidRPr="00FF57FD">
        <w:rPr>
          <w:rFonts w:ascii="Times New Roman" w:hAnsi="Times New Roman" w:cs="Times New Roman"/>
        </w:rPr>
        <w:t>color</w:t>
      </w:r>
    </w:p>
    <w:p w14:paraId="1A343449" w14:textId="77777777" w:rsidR="00FF57FD" w:rsidRPr="00FF57FD" w:rsidRDefault="00FF57FD" w:rsidP="00FF57FD">
      <w:pPr>
        <w:tabs>
          <w:tab w:val="left" w:pos="0"/>
          <w:tab w:val="left" w:pos="1296"/>
          <w:tab w:val="left" w:pos="2448"/>
          <w:tab w:val="left" w:pos="3600"/>
          <w:tab w:val="left" w:pos="4752"/>
          <w:tab w:val="left" w:pos="5904"/>
          <w:tab w:val="left" w:pos="7056"/>
          <w:tab w:val="left" w:pos="8208"/>
          <w:tab w:val="left" w:pos="9360"/>
          <w:tab w:val="left" w:pos="10512"/>
        </w:tabs>
        <w:suppressAutoHyphens/>
        <w:spacing w:after="0" w:line="240" w:lineRule="auto"/>
        <w:ind w:left="1296"/>
        <w:rPr>
          <w:rFonts w:ascii="Times New Roman" w:hAnsi="Times New Roman" w:cs="Times New Roman"/>
        </w:rPr>
      </w:pPr>
      <w:r w:rsidRPr="00FF57FD">
        <w:rPr>
          <w:rFonts w:ascii="Times New Roman" w:hAnsi="Times New Roman" w:cs="Times New Roman"/>
        </w:rPr>
        <w:t>religion</w:t>
      </w:r>
    </w:p>
    <w:p w14:paraId="5FC698DA" w14:textId="77777777" w:rsidR="00FF57FD" w:rsidRPr="00FF57FD" w:rsidRDefault="00FF57FD" w:rsidP="00FF57FD">
      <w:pPr>
        <w:tabs>
          <w:tab w:val="left" w:pos="0"/>
          <w:tab w:val="left" w:pos="1296"/>
          <w:tab w:val="left" w:pos="2448"/>
          <w:tab w:val="left" w:pos="3600"/>
          <w:tab w:val="left" w:pos="4752"/>
          <w:tab w:val="left" w:pos="5904"/>
          <w:tab w:val="left" w:pos="7056"/>
          <w:tab w:val="left" w:pos="8208"/>
          <w:tab w:val="left" w:pos="9360"/>
          <w:tab w:val="left" w:pos="10512"/>
        </w:tabs>
        <w:suppressAutoHyphens/>
        <w:spacing w:after="0" w:line="240" w:lineRule="auto"/>
        <w:ind w:left="1296"/>
        <w:rPr>
          <w:rFonts w:ascii="Times New Roman" w:hAnsi="Times New Roman" w:cs="Times New Roman"/>
        </w:rPr>
      </w:pPr>
      <w:r w:rsidRPr="00FF57FD">
        <w:rPr>
          <w:rFonts w:ascii="Times New Roman" w:hAnsi="Times New Roman" w:cs="Times New Roman"/>
        </w:rPr>
        <w:t>sex</w:t>
      </w:r>
    </w:p>
    <w:p w14:paraId="60E2D635" w14:textId="77777777" w:rsidR="00FF57FD" w:rsidRPr="00FF57FD" w:rsidRDefault="00FF57FD" w:rsidP="00FF57FD">
      <w:pPr>
        <w:tabs>
          <w:tab w:val="left" w:pos="0"/>
          <w:tab w:val="left" w:pos="1296"/>
          <w:tab w:val="left" w:pos="2448"/>
          <w:tab w:val="left" w:pos="3600"/>
          <w:tab w:val="left" w:pos="4752"/>
          <w:tab w:val="left" w:pos="5904"/>
          <w:tab w:val="left" w:pos="7056"/>
          <w:tab w:val="left" w:pos="8208"/>
          <w:tab w:val="left" w:pos="9360"/>
          <w:tab w:val="left" w:pos="10512"/>
        </w:tabs>
        <w:suppressAutoHyphens/>
        <w:spacing w:after="0" w:line="240" w:lineRule="auto"/>
        <w:ind w:left="1296"/>
        <w:rPr>
          <w:rFonts w:ascii="Times New Roman" w:hAnsi="Times New Roman" w:cs="Times New Roman"/>
        </w:rPr>
      </w:pPr>
      <w:r w:rsidRPr="00FF57FD">
        <w:rPr>
          <w:rFonts w:ascii="Times New Roman" w:hAnsi="Times New Roman" w:cs="Times New Roman"/>
        </w:rPr>
        <w:t>national origin</w:t>
      </w:r>
    </w:p>
    <w:p w14:paraId="7940A87C" w14:textId="77777777" w:rsidR="00FF57FD" w:rsidRPr="00FF57FD" w:rsidRDefault="00FF57FD" w:rsidP="00FF57FD">
      <w:pPr>
        <w:suppressAutoHyphens/>
        <w:spacing w:after="0" w:line="240" w:lineRule="auto"/>
        <w:rPr>
          <w:rFonts w:ascii="Times New Roman" w:hAnsi="Times New Roman" w:cs="Times New Roman"/>
        </w:rPr>
      </w:pPr>
    </w:p>
    <w:p w14:paraId="408C9934" w14:textId="77777777" w:rsidR="00FF57FD" w:rsidRPr="00FF57FD" w:rsidRDefault="00FF57FD" w:rsidP="00FF57FD">
      <w:pPr>
        <w:suppressAutoHyphens/>
        <w:spacing w:after="0" w:line="240" w:lineRule="auto"/>
        <w:rPr>
          <w:rFonts w:ascii="Times New Roman" w:hAnsi="Times New Roman" w:cs="Times New Roman"/>
        </w:rPr>
      </w:pPr>
      <w:r w:rsidRPr="00FF57FD">
        <w:rPr>
          <w:rFonts w:ascii="Times New Roman" w:hAnsi="Times New Roman" w:cs="Times New Roman"/>
        </w:rPr>
        <w:tab/>
        <w:t>As soon as it became effective, Title VII became active against employer actions that demonstrated an intent to discriminate.  If a person claiming unlawful discrimination could prove that the employer intentionally treated him or her adversely because of race, color, religion, sex, or national origin, Title VII provided a remedy where none had previously existed.</w:t>
      </w:r>
    </w:p>
    <w:p w14:paraId="6CDE38FA" w14:textId="77777777" w:rsidR="00FF57FD" w:rsidRPr="00FF57FD" w:rsidRDefault="00FF57FD" w:rsidP="00FF57FD">
      <w:pPr>
        <w:suppressAutoHyphens/>
        <w:spacing w:after="0" w:line="240" w:lineRule="auto"/>
        <w:rPr>
          <w:rFonts w:ascii="Times New Roman" w:hAnsi="Times New Roman" w:cs="Times New Roman"/>
        </w:rPr>
      </w:pPr>
    </w:p>
    <w:p w14:paraId="243CCDE7" w14:textId="77777777" w:rsidR="00FF57FD" w:rsidRPr="00FF57FD" w:rsidRDefault="00FF57FD" w:rsidP="00FF57FD">
      <w:pPr>
        <w:suppressAutoHyphens/>
        <w:spacing w:after="0" w:line="240" w:lineRule="auto"/>
        <w:rPr>
          <w:rFonts w:ascii="Times New Roman" w:hAnsi="Times New Roman" w:cs="Times New Roman"/>
          <w:i/>
        </w:rPr>
      </w:pPr>
    </w:p>
    <w:p w14:paraId="4BB3CCCB" w14:textId="77777777" w:rsidR="00FF57FD" w:rsidRPr="00FF57FD" w:rsidRDefault="00FF57FD" w:rsidP="00FF57FD">
      <w:pPr>
        <w:suppressAutoHyphens/>
        <w:spacing w:after="0" w:line="240" w:lineRule="auto"/>
        <w:rPr>
          <w:rFonts w:ascii="Times New Roman" w:hAnsi="Times New Roman" w:cs="Times New Roman"/>
          <w:i/>
        </w:rPr>
      </w:pPr>
      <w:r w:rsidRPr="00FF57FD">
        <w:rPr>
          <w:rFonts w:ascii="Times New Roman" w:hAnsi="Times New Roman" w:cs="Times New Roman"/>
          <w:i/>
        </w:rPr>
        <w:t>Title VII expanded to unintentional discrimination 1971</w:t>
      </w:r>
    </w:p>
    <w:p w14:paraId="4BC45239" w14:textId="77777777" w:rsidR="00FF57FD" w:rsidRPr="00FF57FD" w:rsidRDefault="00FF57FD" w:rsidP="00FF57FD">
      <w:pPr>
        <w:suppressAutoHyphens/>
        <w:spacing w:after="0" w:line="240" w:lineRule="auto"/>
        <w:rPr>
          <w:rFonts w:ascii="Times New Roman" w:hAnsi="Times New Roman" w:cs="Times New Roman"/>
        </w:rPr>
      </w:pPr>
    </w:p>
    <w:p w14:paraId="459343AD" w14:textId="77777777" w:rsidR="00FF57FD" w:rsidRPr="00FF57FD" w:rsidRDefault="00FF57FD" w:rsidP="00FF57FD">
      <w:pPr>
        <w:spacing w:after="0" w:line="240" w:lineRule="auto"/>
        <w:rPr>
          <w:rFonts w:ascii="Times New Roman" w:hAnsi="Times New Roman" w:cs="Times New Roman"/>
          <w:i/>
          <w:iCs/>
        </w:rPr>
      </w:pPr>
      <w:r w:rsidRPr="00FF57FD">
        <w:rPr>
          <w:rFonts w:ascii="Times New Roman" w:hAnsi="Times New Roman" w:cs="Times New Roman"/>
        </w:rPr>
        <w:tab/>
      </w:r>
      <w:r w:rsidRPr="00FF57FD">
        <w:rPr>
          <w:rFonts w:ascii="Times New Roman" w:hAnsi="Times New Roman" w:cs="Times New Roman"/>
          <w:i/>
          <w:iCs/>
        </w:rPr>
        <w:t xml:space="preserve">The law discussed in this section will likely be affected over time by an Executive Order issued by President Trump in April of 2025.  The likely implications of the Executive Order are discussed by Diane Juffras in a blog post attached to the end of this Overview of Antidiscrimination Law.  The blog post can be found in addition at </w:t>
      </w:r>
      <w:r w:rsidRPr="00FF57FD">
        <w:rPr>
          <w:rFonts w:ascii="Times New Roman" w:hAnsi="Times New Roman" w:cs="Times New Roman"/>
          <w:i/>
          <w:iCs/>
        </w:rPr>
        <w:lastRenderedPageBreak/>
        <w:t>https://canons.sog.unc.edu/2025/07/anti-discrimination-law-under-the-second-trump-administration-part-2-the-elimination-of-disparate-impact-theory-of-discrimination/</w:t>
      </w:r>
    </w:p>
    <w:p w14:paraId="3D981E10" w14:textId="77777777" w:rsidR="00FF57FD" w:rsidRPr="00FF57FD" w:rsidRDefault="00FF57FD" w:rsidP="00FF57FD">
      <w:pPr>
        <w:spacing w:after="0" w:line="240" w:lineRule="auto"/>
        <w:rPr>
          <w:rFonts w:ascii="Times New Roman" w:hAnsi="Times New Roman" w:cs="Times New Roman"/>
        </w:rPr>
      </w:pPr>
    </w:p>
    <w:p w14:paraId="0FC619F7" w14:textId="77777777" w:rsidR="00FF57FD" w:rsidRPr="00FF57FD" w:rsidRDefault="00FF57FD" w:rsidP="00FF57FD">
      <w:pPr>
        <w:spacing w:after="0" w:line="240" w:lineRule="auto"/>
        <w:ind w:firstLine="720"/>
        <w:rPr>
          <w:rFonts w:ascii="Times New Roman" w:hAnsi="Times New Roman" w:cs="Times New Roman"/>
        </w:rPr>
      </w:pPr>
      <w:r w:rsidRPr="00FF57FD">
        <w:rPr>
          <w:rFonts w:ascii="Times New Roman" w:hAnsi="Times New Roman" w:cs="Times New Roman"/>
        </w:rPr>
        <w:t xml:space="preserve">A 1971 U.S. Supreme Court decision (in the early days of Title VII litigation) arising from North Carolina created a kind of employment discrimination claim under Title VII—the “disparate impact” claim—that, unlike the most common kinds of Title VII claims, does not require a showing that the employer intended to discriminate.  </w:t>
      </w:r>
      <w:r w:rsidRPr="00FF57FD">
        <w:rPr>
          <w:rFonts w:ascii="Times New Roman" w:hAnsi="Times New Roman" w:cs="Times New Roman"/>
          <w:i/>
        </w:rPr>
        <w:t>Griggs v. Duke Power Company</w:t>
      </w:r>
      <w:r w:rsidRPr="00FF57FD">
        <w:rPr>
          <w:rFonts w:ascii="Times New Roman" w:hAnsi="Times New Roman" w:cs="Times New Roman"/>
        </w:rPr>
        <w:t>.</w:t>
      </w:r>
      <w:r w:rsidRPr="00FF57FD">
        <w:rPr>
          <w:rStyle w:val="FootnoteReference"/>
          <w:rFonts w:ascii="Times New Roman" w:hAnsi="Times New Roman" w:cs="Times New Roman"/>
        </w:rPr>
        <w:footnoteReference w:id="2"/>
      </w:r>
      <w:r w:rsidRPr="00FF57FD">
        <w:rPr>
          <w:rFonts w:ascii="Times New Roman" w:hAnsi="Times New Roman" w:cs="Times New Roman"/>
        </w:rPr>
        <w:t xml:space="preserve">  The mere fact that a practice screens out one group identifiable by race, color, religion, sex or national origin can lead to liability.  In 1991, Congress amended Title VII to codify the disparate impact claim originated in </w:t>
      </w:r>
      <w:r w:rsidRPr="00FF57FD">
        <w:rPr>
          <w:rFonts w:ascii="Times New Roman" w:hAnsi="Times New Roman" w:cs="Times New Roman"/>
          <w:i/>
        </w:rPr>
        <w:t>Griggs</w:t>
      </w:r>
      <w:r w:rsidRPr="00FF57FD">
        <w:rPr>
          <w:rFonts w:ascii="Times New Roman" w:hAnsi="Times New Roman" w:cs="Times New Roman"/>
        </w:rPr>
        <w:t xml:space="preserve">.  </w:t>
      </w:r>
    </w:p>
    <w:p w14:paraId="3DDEDD84" w14:textId="77777777" w:rsidR="00FF57FD" w:rsidRPr="00FF57FD" w:rsidRDefault="00FF57FD" w:rsidP="00FF57FD">
      <w:pPr>
        <w:spacing w:after="0" w:line="240" w:lineRule="auto"/>
        <w:rPr>
          <w:rFonts w:ascii="Times New Roman" w:hAnsi="Times New Roman" w:cs="Times New Roman"/>
        </w:rPr>
      </w:pPr>
    </w:p>
    <w:p w14:paraId="29E4E10E"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 xml:space="preserve">There are many examples of disparate impact resulting from facially neutral practices.  In the </w:t>
      </w:r>
      <w:r w:rsidRPr="00FF57FD">
        <w:rPr>
          <w:rFonts w:ascii="Times New Roman" w:hAnsi="Times New Roman" w:cs="Times New Roman"/>
          <w:i/>
        </w:rPr>
        <w:t>Griggs</w:t>
      </w:r>
      <w:r w:rsidRPr="00FF57FD">
        <w:rPr>
          <w:rFonts w:ascii="Times New Roman" w:hAnsi="Times New Roman" w:cs="Times New Roman"/>
        </w:rPr>
        <w:t xml:space="preserve"> case, the employer required a high school diploma for applicants for all jobs.  At that time, a greater proportion of black North Carolinians were without their high school diploma than were whites.  The NC highway patrol enforced a minimum height requirement for troopers.  A much small proportion of women met the requirement than did men.  Employers sometimes require the ability to lift a certain weight, with a disparate impact on women.  </w:t>
      </w:r>
    </w:p>
    <w:p w14:paraId="4C9A903B" w14:textId="77777777" w:rsidR="00FF57FD" w:rsidRPr="00FF57FD" w:rsidRDefault="00FF57FD" w:rsidP="00FF57FD">
      <w:pPr>
        <w:spacing w:after="0" w:line="240" w:lineRule="auto"/>
        <w:rPr>
          <w:rFonts w:ascii="Times New Roman" w:hAnsi="Times New Roman" w:cs="Times New Roman"/>
        </w:rPr>
      </w:pPr>
    </w:p>
    <w:p w14:paraId="609BFF79"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Today, the law of disparate impact is focused on the use of criminal history information in the hiring process.  Title VII does not prevent an employer from getting criminal history information about applicants.  But the careless use of that information can lead to liability under Title VII, because the use of arrest and conviction information to screen out applicants can have a disparate impact by race and national origin.  Statistics cited Equal Employment Opportunity Commission show that African American and Hispanic people are arrested and convicted at much higher rates than are white people.  For example, the EEOC says that while African Americans make up 14% of the U.S. population, in 2010 28% of all arrests were of African Americans.  Thus, a ban on hiring individuals who have ever been arrested would screen out African American people at twice the rate that it would screen out white people.</w:t>
      </w:r>
    </w:p>
    <w:p w14:paraId="5BA4AF34" w14:textId="77777777" w:rsidR="00FF57FD" w:rsidRPr="00FF57FD" w:rsidRDefault="00FF57FD" w:rsidP="00FF57FD">
      <w:pPr>
        <w:spacing w:after="0" w:line="240" w:lineRule="auto"/>
        <w:rPr>
          <w:rFonts w:ascii="Times New Roman" w:hAnsi="Times New Roman" w:cs="Times New Roman"/>
        </w:rPr>
      </w:pPr>
    </w:p>
    <w:p w14:paraId="57E24D75"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So, does the mere fact that an employer’s practice (such as an educational requirement, a physical requirement, or a criminal record requirement) has a disparate impact mean that the employer is liable under Title VII for unlawful discrimination?</w:t>
      </w:r>
    </w:p>
    <w:p w14:paraId="1FC26D1A" w14:textId="77777777" w:rsidR="00FF57FD" w:rsidRPr="00FF57FD" w:rsidRDefault="00FF57FD" w:rsidP="00FF57FD">
      <w:pPr>
        <w:spacing w:after="0" w:line="240" w:lineRule="auto"/>
        <w:rPr>
          <w:rFonts w:ascii="Times New Roman" w:hAnsi="Times New Roman" w:cs="Times New Roman"/>
        </w:rPr>
      </w:pPr>
    </w:p>
    <w:p w14:paraId="00E051FF"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No.</w:t>
      </w:r>
    </w:p>
    <w:p w14:paraId="38B6450E" w14:textId="77777777" w:rsidR="00FF57FD" w:rsidRPr="00FF57FD" w:rsidRDefault="00FF57FD" w:rsidP="00FF57FD">
      <w:pPr>
        <w:spacing w:after="0" w:line="240" w:lineRule="auto"/>
        <w:rPr>
          <w:rFonts w:ascii="Times New Roman" w:hAnsi="Times New Roman" w:cs="Times New Roman"/>
        </w:rPr>
      </w:pPr>
    </w:p>
    <w:p w14:paraId="43840460"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 xml:space="preserve">The key is whether the practice is “job related” and “consistent with business necessity.”  If it is, then the employer is not liable.  If it is not, the employer is liable.  Here’s how Title VII phrases it:  </w:t>
      </w:r>
    </w:p>
    <w:p w14:paraId="3AA8B775" w14:textId="77777777" w:rsidR="00FF57FD" w:rsidRPr="00FF57FD" w:rsidRDefault="00FF57FD" w:rsidP="00FF57FD">
      <w:pPr>
        <w:spacing w:after="0" w:line="240" w:lineRule="auto"/>
        <w:rPr>
          <w:rFonts w:ascii="Times New Roman" w:hAnsi="Times New Roman" w:cs="Times New Roman"/>
        </w:rPr>
      </w:pPr>
    </w:p>
    <w:p w14:paraId="7592E283" w14:textId="77777777" w:rsidR="00FF57FD" w:rsidRPr="00FF57FD" w:rsidRDefault="00FF57FD" w:rsidP="00FF57FD">
      <w:pPr>
        <w:spacing w:after="0" w:line="240" w:lineRule="auto"/>
        <w:ind w:left="1440"/>
        <w:rPr>
          <w:rFonts w:ascii="Times New Roman" w:hAnsi="Times New Roman" w:cs="Times New Roman"/>
        </w:rPr>
      </w:pPr>
      <w:r w:rsidRPr="00FF57FD">
        <w:rPr>
          <w:rFonts w:ascii="Times New Roman" w:hAnsi="Times New Roman" w:cs="Times New Roman"/>
        </w:rPr>
        <w:t xml:space="preserve">An unlawful employment practice based on disparate impact is established . . . if a complaining party demonstrates that an employer uses a particular employment practice that causes a disparate impact on the basis of race, color, religion, sex, or national origin </w:t>
      </w:r>
      <w:r w:rsidRPr="00FF57FD">
        <w:rPr>
          <w:rFonts w:ascii="Times New Roman" w:hAnsi="Times New Roman" w:cs="Times New Roman"/>
          <w:i/>
        </w:rPr>
        <w:t>and the respondent fails to demonstrate that the challenged practice is job related for the position in question and consistent with business necessity.</w:t>
      </w:r>
      <w:r w:rsidRPr="00FF57FD">
        <w:rPr>
          <w:rFonts w:ascii="Times New Roman" w:hAnsi="Times New Roman" w:cs="Times New Roman"/>
          <w:b/>
          <w:i/>
        </w:rPr>
        <w:t xml:space="preserve"> </w:t>
      </w:r>
      <w:r w:rsidRPr="00FF57FD">
        <w:rPr>
          <w:rFonts w:ascii="Times New Roman" w:hAnsi="Times New Roman" w:cs="Times New Roman"/>
        </w:rPr>
        <w:t>42 U.S.C. § 2000e-2(k)(1)(A)(i)</w:t>
      </w:r>
    </w:p>
    <w:p w14:paraId="1F08A1B8" w14:textId="77777777" w:rsidR="00FF57FD" w:rsidRPr="00FF57FD" w:rsidRDefault="00FF57FD" w:rsidP="00FF57FD">
      <w:pPr>
        <w:spacing w:after="0" w:line="240" w:lineRule="auto"/>
        <w:ind w:left="1440"/>
        <w:rPr>
          <w:rFonts w:ascii="Times New Roman" w:hAnsi="Times New Roman" w:cs="Times New Roman"/>
        </w:rPr>
      </w:pPr>
    </w:p>
    <w:p w14:paraId="2930D980" w14:textId="77777777" w:rsidR="00FF57FD" w:rsidRPr="00FF57FD" w:rsidRDefault="00FF57FD" w:rsidP="00FF57FD">
      <w:pPr>
        <w:spacing w:after="0" w:line="240" w:lineRule="auto"/>
        <w:rPr>
          <w:rFonts w:ascii="Times New Roman" w:hAnsi="Times New Roman" w:cs="Times New Roman"/>
        </w:rPr>
      </w:pPr>
    </w:p>
    <w:p w14:paraId="5214CC2E"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 xml:space="preserve">In 2012, the EEOC issued guidance on the use of criminal history information in employment decisions.  You can find it here:  </w:t>
      </w:r>
      <w:hyperlink r:id="rId15" w:history="1">
        <w:r w:rsidRPr="00FF57FD">
          <w:rPr>
            <w:rStyle w:val="Hyperlink"/>
            <w:rFonts w:ascii="Times New Roman" w:hAnsi="Times New Roman" w:cs="Times New Roman"/>
          </w:rPr>
          <w:t>http://www.eeoc.gov/laws/guidance/arrest_conviction.cfm</w:t>
        </w:r>
      </w:hyperlink>
    </w:p>
    <w:p w14:paraId="02E9E1E6" w14:textId="77777777" w:rsidR="00FF57FD" w:rsidRPr="00FF57FD" w:rsidRDefault="00FF57FD" w:rsidP="00FF57FD">
      <w:pPr>
        <w:spacing w:after="0" w:line="240" w:lineRule="auto"/>
        <w:rPr>
          <w:rFonts w:ascii="Times New Roman" w:hAnsi="Times New Roman" w:cs="Times New Roman"/>
        </w:rPr>
      </w:pPr>
    </w:p>
    <w:p w14:paraId="618BD838"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The guidance does, at root, one simple thing.  It provides a path to a defense against a charge of unlawful employment discrimination filed with the EEOC under Title VII based on the use of criminal history information and alleging discrimination on account of race or national origin.  The Guidance tells employers how they can collect and use criminal history information in a way that would likely lead the EEOC to a finding “no reasonable cause” to believe that such a charge is true.</w:t>
      </w:r>
    </w:p>
    <w:p w14:paraId="4CF2C7DE" w14:textId="77777777" w:rsidR="00FF57FD" w:rsidRPr="00FF57FD" w:rsidRDefault="00FF57FD" w:rsidP="00FF57FD">
      <w:pPr>
        <w:spacing w:after="0" w:line="240" w:lineRule="auto"/>
        <w:rPr>
          <w:rFonts w:ascii="Times New Roman" w:hAnsi="Times New Roman" w:cs="Times New Roman"/>
        </w:rPr>
      </w:pPr>
    </w:p>
    <w:p w14:paraId="18EA733B"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The Guidance acts more broadly, however, to incorporate the EEOC’s view of the law as it has developed on the question and, presumably, to provide a groundwork for courts to use in adjudicating these kinds of employment discrimination claims.</w:t>
      </w:r>
    </w:p>
    <w:p w14:paraId="75536144" w14:textId="77777777" w:rsidR="00FF57FD" w:rsidRPr="00FF57FD" w:rsidRDefault="00FF57FD" w:rsidP="00FF57FD">
      <w:pPr>
        <w:spacing w:after="0" w:line="240" w:lineRule="auto"/>
        <w:rPr>
          <w:rFonts w:ascii="Times New Roman" w:hAnsi="Times New Roman" w:cs="Times New Roman"/>
        </w:rPr>
      </w:pPr>
    </w:p>
    <w:p w14:paraId="1AC76ECF" w14:textId="77777777" w:rsidR="00FF57FD" w:rsidRPr="00FF57FD" w:rsidRDefault="00FF57FD" w:rsidP="00FF57FD">
      <w:pPr>
        <w:spacing w:after="0" w:line="240" w:lineRule="auto"/>
        <w:rPr>
          <w:rFonts w:ascii="Times New Roman" w:hAnsi="Times New Roman" w:cs="Times New Roman"/>
          <w:i/>
        </w:rPr>
      </w:pPr>
      <w:r w:rsidRPr="00FF57FD">
        <w:rPr>
          <w:rFonts w:ascii="Times New Roman" w:hAnsi="Times New Roman" w:cs="Times New Roman"/>
          <w:i/>
        </w:rPr>
        <w:t>Indirect proof of intentional discrimination under Title VII 1973</w:t>
      </w:r>
    </w:p>
    <w:p w14:paraId="6FF2AD79" w14:textId="77777777" w:rsidR="00FF57FD" w:rsidRPr="00FF57FD" w:rsidRDefault="00FF57FD" w:rsidP="00FF57FD">
      <w:pPr>
        <w:spacing w:after="0" w:line="240" w:lineRule="auto"/>
        <w:rPr>
          <w:rFonts w:ascii="Times New Roman" w:hAnsi="Times New Roman" w:cs="Times New Roman"/>
        </w:rPr>
      </w:pPr>
    </w:p>
    <w:p w14:paraId="4BF5F697"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The development of the concept of disparate impact expanded the coverage of Title VII, but it did not address the core problem facing most employees or applicants who believe that they are the victims of unlawful discrimination—how to prove that the employer intended to discriminate.  Most claims do not involve disparate impact.  Instead, they involve a more straightforward claim:  I was treated differently because of my race.  Or sex, etc.  You took my race (or sex, etc.) into account and intentionally treated me differently because of it.</w:t>
      </w:r>
    </w:p>
    <w:p w14:paraId="3601CD9B" w14:textId="77777777" w:rsidR="00FF57FD" w:rsidRPr="00FF57FD" w:rsidRDefault="00FF57FD" w:rsidP="00FF57FD">
      <w:pPr>
        <w:spacing w:after="0" w:line="240" w:lineRule="auto"/>
        <w:rPr>
          <w:rFonts w:ascii="Times New Roman" w:hAnsi="Times New Roman" w:cs="Times New Roman"/>
        </w:rPr>
      </w:pPr>
    </w:p>
    <w:p w14:paraId="7E398979"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 xml:space="preserve">This most straightforward kind of unlawful discrimination is called </w:t>
      </w:r>
      <w:r w:rsidRPr="00FF57FD">
        <w:rPr>
          <w:rFonts w:ascii="Times New Roman" w:hAnsi="Times New Roman" w:cs="Times New Roman"/>
          <w:i/>
        </w:rPr>
        <w:t>disparate treatment</w:t>
      </w:r>
      <w:r w:rsidRPr="00FF57FD">
        <w:rPr>
          <w:rFonts w:ascii="Times New Roman" w:hAnsi="Times New Roman" w:cs="Times New Roman"/>
        </w:rPr>
        <w:t>. That is, an employer treats an employee or applicant differently because of that person’s race, sex, etc.  In one case, for example, a female teacher was not given the same opportunity as males for part</w:t>
      </w:r>
      <w:r w:rsidRPr="00FF57FD">
        <w:rPr>
          <w:rFonts w:ascii="Times New Roman" w:hAnsi="Times New Roman" w:cs="Times New Roman"/>
        </w:rPr>
        <w:noBreakHyphen/>
        <w:t>time employment when the school’s top administrative officers said that they “saw no reason for a woman to have a second job” because “males [have] families and needs” that women do not.</w:t>
      </w:r>
      <w:r w:rsidRPr="00FF57FD">
        <w:rPr>
          <w:rStyle w:val="FootnoteReference"/>
          <w:rFonts w:ascii="Times New Roman" w:hAnsi="Times New Roman" w:cs="Times New Roman"/>
          <w:szCs w:val="18"/>
        </w:rPr>
        <w:footnoteReference w:id="3"/>
      </w:r>
      <w:r w:rsidRPr="00FF57FD">
        <w:rPr>
          <w:rFonts w:ascii="Times New Roman" w:hAnsi="Times New Roman" w:cs="Times New Roman"/>
          <w:sz w:val="18"/>
          <w:szCs w:val="18"/>
        </w:rPr>
        <w:t xml:space="preserve"> </w:t>
      </w:r>
      <w:r w:rsidRPr="00FF57FD">
        <w:rPr>
          <w:rFonts w:ascii="Times New Roman" w:hAnsi="Times New Roman" w:cs="Times New Roman"/>
        </w:rPr>
        <w:t>Statements of that sort constitute direct evidence of the officials’ intent to discriminate.  More often, no representative of the employer will have made any such statement, and the claimant must prove the discriminatory intent some other way.  But how?</w:t>
      </w:r>
    </w:p>
    <w:p w14:paraId="005BE2D1" w14:textId="77777777" w:rsidR="00FF57FD" w:rsidRPr="00FF57FD" w:rsidRDefault="00FF57FD" w:rsidP="00FF57FD">
      <w:pPr>
        <w:spacing w:after="0" w:line="240" w:lineRule="auto"/>
        <w:rPr>
          <w:rFonts w:ascii="Times New Roman" w:hAnsi="Times New Roman" w:cs="Times New Roman"/>
        </w:rPr>
      </w:pPr>
    </w:p>
    <w:p w14:paraId="60192924" w14:textId="77777777" w:rsidR="00FF57FD" w:rsidRPr="00FF57FD" w:rsidRDefault="00FF57FD" w:rsidP="00FF57FD">
      <w:pPr>
        <w:spacing w:after="0" w:line="240" w:lineRule="auto"/>
        <w:ind w:firstLine="720"/>
        <w:rPr>
          <w:rFonts w:ascii="Times New Roman" w:hAnsi="Times New Roman" w:cs="Times New Roman"/>
        </w:rPr>
      </w:pPr>
      <w:r w:rsidRPr="00FF57FD">
        <w:rPr>
          <w:rFonts w:ascii="Times New Roman" w:hAnsi="Times New Roman" w:cs="Times New Roman"/>
        </w:rPr>
        <w:t xml:space="preserve">In 1973, in the case of </w:t>
      </w:r>
      <w:r w:rsidRPr="00FF57FD">
        <w:rPr>
          <w:rFonts w:ascii="Times New Roman" w:hAnsi="Times New Roman" w:cs="Times New Roman"/>
          <w:i/>
        </w:rPr>
        <w:t>McDonnell Douglas Corp. v. Green</w:t>
      </w:r>
      <w:r w:rsidRPr="00FF57FD">
        <w:rPr>
          <w:rFonts w:ascii="Times New Roman" w:hAnsi="Times New Roman" w:cs="Times New Roman"/>
        </w:rPr>
        <w:t>,</w:t>
      </w:r>
      <w:r w:rsidRPr="00FF57FD">
        <w:rPr>
          <w:rStyle w:val="FootnoteReference"/>
          <w:rFonts w:ascii="Times New Roman" w:hAnsi="Times New Roman" w:cs="Times New Roman"/>
        </w:rPr>
        <w:footnoteReference w:id="4"/>
      </w:r>
      <w:r w:rsidRPr="00FF57FD">
        <w:rPr>
          <w:rFonts w:ascii="Times New Roman" w:hAnsi="Times New Roman" w:cs="Times New Roman"/>
        </w:rPr>
        <w:t xml:space="preserve"> the Supreme Court addressed that problem.  It set out a three</w:t>
      </w:r>
      <w:r w:rsidRPr="00FF57FD">
        <w:rPr>
          <w:rFonts w:ascii="Times New Roman" w:hAnsi="Times New Roman" w:cs="Times New Roman"/>
        </w:rPr>
        <w:noBreakHyphen/>
        <w:t xml:space="preserve">step process by which a person claiming sex discrimination (or race discrimination or national origin or religion or color) may offer indirect evidence of an intent to discrimination where direct evidence is not available.  In the first step, the person claiming discrimination must make out what is called the </w:t>
      </w:r>
      <w:r w:rsidRPr="00FF57FD">
        <w:rPr>
          <w:rFonts w:ascii="Times New Roman" w:hAnsi="Times New Roman" w:cs="Times New Roman"/>
          <w:i/>
        </w:rPr>
        <w:t>prima facie</w:t>
      </w:r>
      <w:r w:rsidRPr="00FF57FD">
        <w:rPr>
          <w:rFonts w:ascii="Times New Roman" w:hAnsi="Times New Roman" w:cs="Times New Roman"/>
        </w:rPr>
        <w:t xml:space="preserve"> case (that is, a sufficient showing to raise the inference of intentional discrimination).  An applicant, for example, can make out the prima facie case by showing that (1) he or she belongs to a protected class;  (2) he or she was qualified for the job and applied for it;  (3) he or she was not hired, despite being qualified;  and (4) after the rejection, the employer continued to seek applicants.  The implication </w:t>
      </w:r>
      <w:r w:rsidRPr="00FF57FD">
        <w:rPr>
          <w:rFonts w:ascii="Times New Roman" w:hAnsi="Times New Roman" w:cs="Times New Roman"/>
        </w:rPr>
        <w:lastRenderedPageBreak/>
        <w:t>arises that the person was not hired because of his or her sex or other protected status.  The procedure would be similar for, say, a current employee claiming discrimination in not getting a promotion.</w:t>
      </w:r>
    </w:p>
    <w:p w14:paraId="404C3347" w14:textId="77777777" w:rsidR="00FF57FD" w:rsidRPr="00FF57FD" w:rsidRDefault="00FF57FD" w:rsidP="00FF57FD">
      <w:pPr>
        <w:spacing w:after="0" w:line="240" w:lineRule="auto"/>
        <w:ind w:firstLine="720"/>
        <w:rPr>
          <w:rFonts w:ascii="Times New Roman" w:hAnsi="Times New Roman" w:cs="Times New Roman"/>
        </w:rPr>
      </w:pPr>
    </w:p>
    <w:p w14:paraId="465813EB" w14:textId="77777777" w:rsidR="00FF57FD" w:rsidRPr="00FF57FD" w:rsidRDefault="00FF57FD" w:rsidP="00FF57FD">
      <w:pPr>
        <w:spacing w:after="0" w:line="240" w:lineRule="auto"/>
        <w:ind w:firstLine="720"/>
        <w:rPr>
          <w:rFonts w:ascii="Times New Roman" w:hAnsi="Times New Roman" w:cs="Times New Roman"/>
        </w:rPr>
      </w:pPr>
      <w:r w:rsidRPr="00FF57FD">
        <w:rPr>
          <w:rFonts w:ascii="Times New Roman" w:hAnsi="Times New Roman" w:cs="Times New Roman"/>
        </w:rPr>
        <w:t xml:space="preserve">In the second step, the burden shifts to the employer to present evidence that some reason other than race or sex accounts for the employer’s decision. That is, the employer must articulate a legitimate, nondiscriminatory reason.  The employer need not </w:t>
      </w:r>
      <w:r w:rsidRPr="00FF57FD">
        <w:rPr>
          <w:rFonts w:ascii="Times New Roman" w:hAnsi="Times New Roman" w:cs="Times New Roman"/>
          <w:i/>
        </w:rPr>
        <w:t>prove</w:t>
      </w:r>
      <w:r w:rsidRPr="00FF57FD">
        <w:rPr>
          <w:rFonts w:ascii="Times New Roman" w:hAnsi="Times New Roman" w:cs="Times New Roman"/>
        </w:rPr>
        <w:t xml:space="preserve"> that this was the actual reason; it need only give evidence that it was. The employer may give evidence that some other applicant was even better qualified.  The employer may testify that the applicant performed poorly in the job interview.  The employer may offer evidence that the employee had engaged in on—the—job misconduct.</w:t>
      </w:r>
      <w:r w:rsidRPr="00FF57FD">
        <w:rPr>
          <w:rFonts w:ascii="Times New Roman" w:hAnsi="Times New Roman" w:cs="Times New Roman"/>
          <w:sz w:val="18"/>
          <w:szCs w:val="18"/>
        </w:rPr>
        <w:t xml:space="preserve">  </w:t>
      </w:r>
      <w:r w:rsidRPr="00FF57FD">
        <w:rPr>
          <w:rFonts w:ascii="Times New Roman" w:hAnsi="Times New Roman" w:cs="Times New Roman"/>
        </w:rPr>
        <w:t>Or the employer may say (if it’s true) that the applicant’s file was simply lost.</w:t>
      </w:r>
    </w:p>
    <w:p w14:paraId="3C00F224" w14:textId="77777777" w:rsidR="00FF57FD" w:rsidRPr="00FF57FD" w:rsidRDefault="00FF57FD" w:rsidP="00FF57FD">
      <w:pPr>
        <w:spacing w:after="0" w:line="240" w:lineRule="auto"/>
        <w:ind w:firstLine="720"/>
        <w:rPr>
          <w:rFonts w:ascii="Times New Roman" w:hAnsi="Times New Roman" w:cs="Times New Roman"/>
        </w:rPr>
      </w:pPr>
    </w:p>
    <w:p w14:paraId="0B562BC5" w14:textId="77777777" w:rsidR="00FF57FD" w:rsidRPr="00FF57FD" w:rsidRDefault="00FF57FD" w:rsidP="00FF57FD">
      <w:pPr>
        <w:spacing w:after="0" w:line="240" w:lineRule="auto"/>
        <w:ind w:firstLine="720"/>
        <w:rPr>
          <w:rFonts w:ascii="Times New Roman" w:hAnsi="Times New Roman" w:cs="Times New Roman"/>
        </w:rPr>
      </w:pPr>
      <w:r w:rsidRPr="00FF57FD">
        <w:rPr>
          <w:rFonts w:ascii="Times New Roman" w:hAnsi="Times New Roman" w:cs="Times New Roman"/>
        </w:rPr>
        <w:t xml:space="preserve">Such a showing by the employer is not the end of the line. In the third step, the claimant is allowed the opportunity to prove that the reason offered is not the real reason but rather is a </w:t>
      </w:r>
      <w:r w:rsidRPr="00FF57FD">
        <w:rPr>
          <w:rFonts w:ascii="Times New Roman" w:hAnsi="Times New Roman" w:cs="Times New Roman"/>
          <w:i/>
        </w:rPr>
        <w:t>pretext</w:t>
      </w:r>
      <w:r w:rsidRPr="00FF57FD">
        <w:rPr>
          <w:rFonts w:ascii="Times New Roman" w:hAnsi="Times New Roman" w:cs="Times New Roman"/>
        </w:rPr>
        <w:t xml:space="preserve"> for unlawful discrimination. At one time it was thought that the claimant could be successful at this stage simply by discrediting the reason that the employer offered as the legitimate, nondiscriminatory reason in the second step. The U.S. Supreme Court has made clear, however, that merely discrediting that reason is not enough.</w:t>
      </w:r>
      <w:r w:rsidRPr="00FF57FD">
        <w:rPr>
          <w:rStyle w:val="FootnoteReference"/>
          <w:rFonts w:ascii="Times New Roman" w:hAnsi="Times New Roman" w:cs="Times New Roman"/>
          <w:szCs w:val="18"/>
        </w:rPr>
        <w:footnoteReference w:id="5"/>
      </w:r>
      <w:r w:rsidRPr="00FF57FD">
        <w:rPr>
          <w:rFonts w:ascii="Times New Roman" w:hAnsi="Times New Roman" w:cs="Times New Roman"/>
          <w:sz w:val="18"/>
          <w:szCs w:val="18"/>
        </w:rPr>
        <w:t xml:space="preserve">  </w:t>
      </w:r>
      <w:r w:rsidRPr="00FF57FD">
        <w:rPr>
          <w:rFonts w:ascii="Times New Roman" w:hAnsi="Times New Roman" w:cs="Times New Roman"/>
        </w:rPr>
        <w:t>The burden remains with the claimant to prove that unlawful discrimination is the most likely explanation for the employer’s action.</w:t>
      </w:r>
    </w:p>
    <w:p w14:paraId="03D9CC22" w14:textId="77777777" w:rsidR="00FF57FD" w:rsidRPr="00FF57FD" w:rsidRDefault="00FF57FD" w:rsidP="00FF57FD">
      <w:pPr>
        <w:spacing w:after="0" w:line="240" w:lineRule="auto"/>
        <w:rPr>
          <w:rFonts w:ascii="Times New Roman" w:hAnsi="Times New Roman" w:cs="Times New Roman"/>
        </w:rPr>
      </w:pPr>
    </w:p>
    <w:p w14:paraId="5578E43B"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If this indirect method of proving intentional discrimination did not exist, the only claims of disparate treatment that could succeed would be those where a “smoking gun” existed, such as a statement like “I don’t think women can handle this job.”</w:t>
      </w:r>
    </w:p>
    <w:p w14:paraId="19D887E6" w14:textId="77777777" w:rsidR="00FF57FD" w:rsidRPr="00FF57FD" w:rsidRDefault="00FF57FD" w:rsidP="00FF57FD">
      <w:pPr>
        <w:spacing w:after="0" w:line="240" w:lineRule="auto"/>
        <w:rPr>
          <w:rFonts w:ascii="Times New Roman" w:hAnsi="Times New Roman" w:cs="Times New Roman"/>
        </w:rPr>
      </w:pPr>
    </w:p>
    <w:p w14:paraId="22E23B94" w14:textId="77777777" w:rsidR="00FF57FD" w:rsidRPr="00FF57FD" w:rsidRDefault="00FF57FD" w:rsidP="00FF57FD">
      <w:pPr>
        <w:spacing w:after="0" w:line="240" w:lineRule="auto"/>
        <w:rPr>
          <w:rFonts w:ascii="Times New Roman" w:hAnsi="Times New Roman" w:cs="Times New Roman"/>
          <w:i/>
        </w:rPr>
      </w:pPr>
      <w:r w:rsidRPr="00FF57FD">
        <w:rPr>
          <w:rFonts w:ascii="Times New Roman" w:hAnsi="Times New Roman" w:cs="Times New Roman"/>
          <w:i/>
        </w:rPr>
        <w:t>Harassment as a form of unlawful discrimination 1986</w:t>
      </w:r>
    </w:p>
    <w:p w14:paraId="5C145902" w14:textId="77777777" w:rsidR="00FF57FD" w:rsidRPr="00FF57FD" w:rsidRDefault="00FF57FD" w:rsidP="00FF57FD">
      <w:pPr>
        <w:spacing w:after="0" w:line="240" w:lineRule="auto"/>
        <w:rPr>
          <w:rFonts w:ascii="Times New Roman" w:hAnsi="Times New Roman" w:cs="Times New Roman"/>
        </w:rPr>
      </w:pPr>
    </w:p>
    <w:p w14:paraId="13A77D11"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As recently as 1974 a federal district court, ruling against a woman who had brought an employment discrimination claim under Title VII, said that the sexual harassment she complained of was merely an “inharmonious personal relationship” that would not be considered by the federal courts.</w:t>
      </w:r>
      <w:r w:rsidRPr="00FF57FD">
        <w:rPr>
          <w:rStyle w:val="FootnoteReference"/>
          <w:rFonts w:ascii="Times New Roman" w:hAnsi="Times New Roman" w:cs="Times New Roman"/>
          <w:szCs w:val="18"/>
        </w:rPr>
        <w:footnoteReference w:id="6"/>
      </w:r>
      <w:r w:rsidRPr="00FF57FD">
        <w:rPr>
          <w:rFonts w:ascii="Times New Roman" w:hAnsi="Times New Roman" w:cs="Times New Roman"/>
          <w:sz w:val="18"/>
          <w:szCs w:val="18"/>
        </w:rPr>
        <w:t xml:space="preserve"> </w:t>
      </w:r>
      <w:r w:rsidRPr="00FF57FD">
        <w:rPr>
          <w:rFonts w:ascii="Times New Roman" w:hAnsi="Times New Roman" w:cs="Times New Roman"/>
        </w:rPr>
        <w:t>In the mid</w:t>
      </w:r>
      <w:r w:rsidRPr="00FF57FD">
        <w:rPr>
          <w:rFonts w:ascii="Times New Roman" w:hAnsi="Times New Roman" w:cs="Times New Roman"/>
        </w:rPr>
        <w:noBreakHyphen/>
        <w:t xml:space="preserve">1970s courts first began to hold that a negative employment action such as dismissal toward a female employee who rebuffed advances constituted a violation of Title VII.  This was traditionally known as the </w:t>
      </w:r>
      <w:r w:rsidRPr="00FF57FD">
        <w:rPr>
          <w:rFonts w:ascii="Times New Roman" w:hAnsi="Times New Roman" w:cs="Times New Roman"/>
          <w:i/>
        </w:rPr>
        <w:t>quid pro quo</w:t>
      </w:r>
      <w:r w:rsidRPr="00FF57FD">
        <w:rPr>
          <w:rFonts w:ascii="Times New Roman" w:hAnsi="Times New Roman" w:cs="Times New Roman"/>
        </w:rPr>
        <w:t xml:space="preserve"> type of unlawful sexual harassment.  If an employee can show that he or she was subjected to unwelcome sexual harassment because of his or her sex (that is, a person of the other sex would not have been a target), and that some tangible job detriment resulted from the employee’s reaction to the harassment, the employer may be liable.</w:t>
      </w:r>
      <w:r w:rsidRPr="00FF57FD">
        <w:rPr>
          <w:rStyle w:val="FootnoteReference"/>
          <w:rFonts w:ascii="Times New Roman" w:hAnsi="Times New Roman" w:cs="Times New Roman"/>
          <w:szCs w:val="18"/>
        </w:rPr>
        <w:footnoteReference w:id="7"/>
      </w:r>
    </w:p>
    <w:p w14:paraId="1B75B8C3" w14:textId="77777777" w:rsidR="00FF57FD" w:rsidRPr="00FF57FD" w:rsidRDefault="00FF57FD" w:rsidP="00FF57FD">
      <w:pPr>
        <w:spacing w:after="0" w:line="240" w:lineRule="auto"/>
        <w:rPr>
          <w:rFonts w:ascii="Times New Roman" w:hAnsi="Times New Roman" w:cs="Times New Roman"/>
        </w:rPr>
      </w:pPr>
    </w:p>
    <w:p w14:paraId="0E3DE48A"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 xml:space="preserve">By the early 1980s the law had developed to the point that a federal appeals court decided that “an employer violates Title VII merely by subjecting female employees to sexual harassment, even if the employee’s resistance to that harassment does not cause the employer to </w:t>
      </w:r>
      <w:r w:rsidRPr="00FF57FD">
        <w:rPr>
          <w:rFonts w:ascii="Times New Roman" w:hAnsi="Times New Roman" w:cs="Times New Roman"/>
        </w:rPr>
        <w:lastRenderedPageBreak/>
        <w:t>deprive her of any tangible job benefits.”</w:t>
      </w:r>
      <w:r w:rsidRPr="00FF57FD">
        <w:rPr>
          <w:rStyle w:val="FootnoteReference"/>
          <w:rFonts w:ascii="Times New Roman" w:hAnsi="Times New Roman" w:cs="Times New Roman"/>
          <w:szCs w:val="18"/>
        </w:rPr>
        <w:footnoteReference w:id="8"/>
      </w:r>
      <w:r w:rsidRPr="00FF57FD">
        <w:rPr>
          <w:rFonts w:ascii="Times New Roman" w:hAnsi="Times New Roman" w:cs="Times New Roman"/>
        </w:rPr>
        <w:t xml:space="preserve">  This was traditionally known as the </w:t>
      </w:r>
      <w:r w:rsidRPr="00FF57FD">
        <w:rPr>
          <w:rFonts w:ascii="Times New Roman" w:hAnsi="Times New Roman" w:cs="Times New Roman"/>
          <w:i/>
        </w:rPr>
        <w:t>hostile environment</w:t>
      </w:r>
      <w:r w:rsidRPr="00FF57FD">
        <w:rPr>
          <w:rFonts w:ascii="Times New Roman" w:hAnsi="Times New Roman" w:cs="Times New Roman"/>
        </w:rPr>
        <w:t xml:space="preserve"> type of unlawful sexual harassment.  The U.S. Supreme Court first acknowledged it in 1986 in the case of </w:t>
      </w:r>
      <w:r w:rsidRPr="00FF57FD">
        <w:rPr>
          <w:rFonts w:ascii="Times New Roman" w:hAnsi="Times New Roman" w:cs="Times New Roman"/>
          <w:i/>
        </w:rPr>
        <w:t>Meritor Savings Bank v. Vinson</w:t>
      </w:r>
      <w:r w:rsidRPr="00FF57FD">
        <w:rPr>
          <w:rFonts w:ascii="Times New Roman" w:hAnsi="Times New Roman" w:cs="Times New Roman"/>
        </w:rPr>
        <w:t>.</w:t>
      </w:r>
      <w:r w:rsidRPr="00FF57FD">
        <w:rPr>
          <w:rStyle w:val="FootnoteReference"/>
          <w:rFonts w:ascii="Times New Roman" w:hAnsi="Times New Roman" w:cs="Times New Roman"/>
        </w:rPr>
        <w:footnoteReference w:id="9"/>
      </w:r>
      <w:r w:rsidRPr="00FF57FD">
        <w:rPr>
          <w:rFonts w:ascii="Times New Roman" w:hAnsi="Times New Roman" w:cs="Times New Roman"/>
        </w:rPr>
        <w:t xml:space="preserve">  An employee may prevail on a claim of sex discrimination under this type of sexual harassment without demonstrating any type of tangible job loss. It is enough that he or (more likely) she suffers hostile sexual conduct sufficiently severe or pervasive to alter the conditions of the workplace.</w:t>
      </w:r>
      <w:r w:rsidRPr="00FF57FD">
        <w:rPr>
          <w:rStyle w:val="FootnoteReference"/>
          <w:rFonts w:ascii="Times New Roman" w:hAnsi="Times New Roman" w:cs="Times New Roman"/>
          <w:szCs w:val="18"/>
        </w:rPr>
        <w:footnoteReference w:id="10"/>
      </w:r>
      <w:r w:rsidRPr="00FF57FD">
        <w:rPr>
          <w:rFonts w:ascii="Times New Roman" w:hAnsi="Times New Roman" w:cs="Times New Roman"/>
        </w:rPr>
        <w:t xml:space="preserve">  The sexual conduct must create an environment that a reasonable person would find hostile or abusive and that the particular person making the complaint did in fact find hostile or abusive.</w:t>
      </w:r>
      <w:r w:rsidRPr="00FF57FD">
        <w:rPr>
          <w:rStyle w:val="FootnoteReference"/>
          <w:rFonts w:ascii="Times New Roman" w:hAnsi="Times New Roman" w:cs="Times New Roman"/>
          <w:szCs w:val="18"/>
        </w:rPr>
        <w:footnoteReference w:id="11"/>
      </w:r>
      <w:r w:rsidRPr="00FF57FD">
        <w:rPr>
          <w:rFonts w:ascii="Times New Roman" w:hAnsi="Times New Roman" w:cs="Times New Roman"/>
        </w:rPr>
        <w:t xml:space="preserve">  There is no requirement that the complaining person have suffered psychological damage or any other damage. Having to deal with the hostile environment itself is enough to support the claim.</w:t>
      </w:r>
    </w:p>
    <w:p w14:paraId="7775317C" w14:textId="77777777" w:rsidR="00FF57FD" w:rsidRPr="00FF57FD" w:rsidRDefault="00FF57FD" w:rsidP="00FF57FD">
      <w:pPr>
        <w:spacing w:after="0" w:line="240" w:lineRule="auto"/>
        <w:rPr>
          <w:rFonts w:ascii="Times New Roman" w:hAnsi="Times New Roman" w:cs="Times New Roman"/>
        </w:rPr>
      </w:pPr>
    </w:p>
    <w:p w14:paraId="65F85A74"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In cases in 1998—</w:t>
      </w:r>
      <w:r w:rsidRPr="00FF57FD">
        <w:rPr>
          <w:rFonts w:ascii="Times New Roman" w:hAnsi="Times New Roman" w:cs="Times New Roman"/>
          <w:i/>
        </w:rPr>
        <w:t>Faragher v. City of Boca Raton</w:t>
      </w:r>
      <w:r w:rsidRPr="00FF57FD">
        <w:rPr>
          <w:rFonts w:ascii="Times New Roman" w:hAnsi="Times New Roman" w:cs="Times New Roman"/>
        </w:rPr>
        <w:t>,</w:t>
      </w:r>
      <w:r w:rsidRPr="00FF57FD">
        <w:rPr>
          <w:rStyle w:val="FootnoteReference"/>
          <w:rFonts w:ascii="Times New Roman" w:hAnsi="Times New Roman" w:cs="Times New Roman"/>
        </w:rPr>
        <w:footnoteReference w:id="12"/>
      </w:r>
      <w:r w:rsidRPr="00FF57FD">
        <w:rPr>
          <w:rFonts w:ascii="Times New Roman" w:hAnsi="Times New Roman" w:cs="Times New Roman"/>
        </w:rPr>
        <w:t xml:space="preserve"> and </w:t>
      </w:r>
      <w:r w:rsidRPr="00FF57FD">
        <w:rPr>
          <w:rFonts w:ascii="Times New Roman" w:hAnsi="Times New Roman" w:cs="Times New Roman"/>
          <w:i/>
        </w:rPr>
        <w:t>Burlington Industries, Inc. v. Ellerth</w:t>
      </w:r>
      <w:r w:rsidRPr="00FF57FD">
        <w:rPr>
          <w:rFonts w:ascii="Times New Roman" w:hAnsi="Times New Roman" w:cs="Times New Roman"/>
        </w:rPr>
        <w:t>,</w:t>
      </w:r>
      <w:r w:rsidRPr="00FF57FD">
        <w:rPr>
          <w:rStyle w:val="FootnoteReference"/>
          <w:rFonts w:ascii="Times New Roman" w:hAnsi="Times New Roman" w:cs="Times New Roman"/>
        </w:rPr>
        <w:footnoteReference w:id="13"/>
      </w:r>
      <w:r w:rsidRPr="00FF57FD">
        <w:rPr>
          <w:rFonts w:ascii="Times New Roman" w:hAnsi="Times New Roman" w:cs="Times New Roman"/>
        </w:rPr>
        <w:t xml:space="preserve"> the U.S. Supreme Court put the law of sexual harassment on its present course.  If a supervisor is engaged in sexually harassing conduct that imposes some sort of tangible job detriment—say, dismissal, loss of pay, failure to get a promotion—the employer is simply liable.  That is a form of strict liability.  The supervisor is acting as the agent of the employer and the employer is bound.  If, on the other hand, the conduct by a supervisor, while harassing in the hostile environment sense, does not impose a tangible job detriment, but merely creates the bad work situation, then the employer is not automatically liable, but is entitled to assert a court-created affirmative defense and perhaps avoid liability.  The employer prevails under this affirmative defense if it can show that it exercises reasonable care to avoid harassment and eliminate it whenever it should occur (through the adoption of a workable sexual harassment policy, appropriate training in the use of the policy, and appropriate response to complaints) and that the employee failed to act with reasonable care in that the employee did not use the safeguards provided by the employer (such as a convenient avenue to complain about harassment and effective assurances on nonretaliation).</w:t>
      </w:r>
    </w:p>
    <w:p w14:paraId="03B31073" w14:textId="77777777" w:rsidR="00FF57FD" w:rsidRPr="00FF57FD" w:rsidRDefault="00FF57FD" w:rsidP="00FF57FD">
      <w:pPr>
        <w:spacing w:after="0" w:line="240" w:lineRule="auto"/>
        <w:rPr>
          <w:rFonts w:ascii="Times New Roman" w:hAnsi="Times New Roman" w:cs="Times New Roman"/>
        </w:rPr>
      </w:pPr>
    </w:p>
    <w:p w14:paraId="078ACC5F"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A chief mistake an employer can make is to fail to take seriously a complaint of sexual harassment. If the employer does not try to determine whether the complaint is true and does not take reasonable steps to stop the harassment, the employer will be seen to have ratified the original harassment, and the employer will be held liable.</w:t>
      </w:r>
    </w:p>
    <w:p w14:paraId="72CEFBA6" w14:textId="77777777" w:rsidR="00FF57FD" w:rsidRPr="00FF57FD" w:rsidRDefault="00FF57FD" w:rsidP="00FF57FD">
      <w:pPr>
        <w:spacing w:after="0" w:line="240" w:lineRule="auto"/>
        <w:rPr>
          <w:rFonts w:ascii="Times New Roman" w:hAnsi="Times New Roman" w:cs="Times New Roman"/>
        </w:rPr>
      </w:pPr>
    </w:p>
    <w:p w14:paraId="099916C7" w14:textId="77777777" w:rsidR="00FF57FD" w:rsidRPr="00FF57FD" w:rsidRDefault="00FF57FD" w:rsidP="00FF57FD">
      <w:pPr>
        <w:spacing w:after="0" w:line="240" w:lineRule="auto"/>
        <w:rPr>
          <w:rFonts w:ascii="Times New Roman" w:hAnsi="Times New Roman" w:cs="Times New Roman"/>
          <w:i/>
          <w:iCs/>
        </w:rPr>
      </w:pPr>
      <w:r w:rsidRPr="00FF57FD">
        <w:rPr>
          <w:rFonts w:ascii="Times New Roman" w:hAnsi="Times New Roman" w:cs="Times New Roman"/>
          <w:i/>
          <w:iCs/>
        </w:rPr>
        <w:t>Discrimination on account of sexual orientation, gender identity, or transgender status 2020</w:t>
      </w:r>
    </w:p>
    <w:p w14:paraId="510B935A" w14:textId="77777777" w:rsidR="00FF57FD" w:rsidRPr="00FF57FD" w:rsidRDefault="00FF57FD" w:rsidP="00FF57FD">
      <w:pPr>
        <w:spacing w:after="0" w:line="240" w:lineRule="auto"/>
        <w:rPr>
          <w:rFonts w:ascii="Times New Roman" w:hAnsi="Times New Roman" w:cs="Times New Roman"/>
        </w:rPr>
      </w:pPr>
    </w:p>
    <w:p w14:paraId="4420D357" w14:textId="0E164D9E" w:rsidR="00FF57FD" w:rsidRPr="00FF57FD" w:rsidRDefault="00FF57FD" w:rsidP="00FF57FD">
      <w:pPr>
        <w:spacing w:after="0" w:line="240" w:lineRule="auto"/>
        <w:rPr>
          <w:rFonts w:ascii="Times New Roman" w:hAnsi="Times New Roman" w:cs="Times New Roman"/>
          <w:i/>
          <w:iCs/>
        </w:rPr>
      </w:pPr>
      <w:r w:rsidRPr="00FF57FD">
        <w:rPr>
          <w:rFonts w:ascii="Times New Roman" w:hAnsi="Times New Roman" w:cs="Times New Roman"/>
        </w:rPr>
        <w:tab/>
      </w:r>
      <w:r w:rsidRPr="00FF57FD">
        <w:rPr>
          <w:rFonts w:ascii="Times New Roman" w:hAnsi="Times New Roman" w:cs="Times New Roman"/>
          <w:i/>
          <w:iCs/>
        </w:rPr>
        <w:t xml:space="preserve">The law discussed in this section will likely be affected over time by an Executive Order issued by President Trump in January of 2025.  The likely implications of the Executive Order are discussed by Diane Juffras in a blog post </w:t>
      </w:r>
      <w:r w:rsidR="00B071D1">
        <w:rPr>
          <w:rFonts w:ascii="Times New Roman" w:hAnsi="Times New Roman" w:cs="Times New Roman"/>
          <w:i/>
          <w:iCs/>
        </w:rPr>
        <w:t xml:space="preserve">that </w:t>
      </w:r>
      <w:r w:rsidRPr="00FF57FD">
        <w:rPr>
          <w:rFonts w:ascii="Times New Roman" w:hAnsi="Times New Roman" w:cs="Times New Roman"/>
          <w:i/>
          <w:iCs/>
        </w:rPr>
        <w:t>can be found at https://canons.sog.unc.edu/2025/08/antidiscrimination-law-under-the-second-trump-administration-part-3-reinterpretation-of-unlawful-sex-discrimination/</w:t>
      </w:r>
    </w:p>
    <w:p w14:paraId="3A587CCF" w14:textId="77777777" w:rsidR="00FF57FD" w:rsidRPr="00FF57FD" w:rsidRDefault="00FF57FD" w:rsidP="00FF57FD">
      <w:pPr>
        <w:spacing w:after="0" w:line="240" w:lineRule="auto"/>
        <w:rPr>
          <w:rFonts w:ascii="Times New Roman" w:hAnsi="Times New Roman" w:cs="Times New Roman"/>
        </w:rPr>
      </w:pPr>
    </w:p>
    <w:p w14:paraId="6FB8E09F" w14:textId="77777777" w:rsidR="00FF57FD" w:rsidRPr="00FF57FD" w:rsidRDefault="00FF57FD" w:rsidP="00FF57FD">
      <w:pPr>
        <w:spacing w:after="0" w:line="240" w:lineRule="auto"/>
        <w:ind w:firstLine="720"/>
        <w:rPr>
          <w:rFonts w:ascii="Times New Roman" w:hAnsi="Times New Roman" w:cs="Times New Roman"/>
        </w:rPr>
      </w:pPr>
      <w:r w:rsidRPr="00FF57FD">
        <w:rPr>
          <w:rFonts w:ascii="Times New Roman" w:hAnsi="Times New Roman" w:cs="Times New Roman"/>
        </w:rPr>
        <w:lastRenderedPageBreak/>
        <w:t>In June of 2020, the United States Supreme Court definitively ruled that Title VII’s prohibition on discrimination on account of “sex” includes prohibition on account of sexual orientation, gender identity, or transgender status.  The decision goes by the name of Bostock v. Clayton County,</w:t>
      </w:r>
      <w:r w:rsidRPr="00FF57FD">
        <w:rPr>
          <w:rStyle w:val="FootnoteReference"/>
          <w:rFonts w:ascii="Times New Roman" w:hAnsi="Times New Roman" w:cs="Times New Roman"/>
        </w:rPr>
        <w:footnoteReference w:id="14"/>
      </w:r>
      <w:r w:rsidRPr="00FF57FD">
        <w:rPr>
          <w:rFonts w:ascii="Times New Roman" w:hAnsi="Times New Roman" w:cs="Times New Roman"/>
        </w:rPr>
        <w:t xml:space="preserve"> but it covered three cases that were combined for consideration by the Supreme Court.  One case involved a male instructor at a sky-diving business.  He told a female student that she did not need to be concerned about the fact that he would be hugging her tightly during the training because he was gay.  A second case involved an employee of a county in Georgia</w:t>
      </w:r>
      <w:r w:rsidRPr="00FF57FD">
        <w:rPr>
          <w:rStyle w:val="FootnoteReference"/>
          <w:rFonts w:ascii="Times New Roman" w:hAnsi="Times New Roman" w:cs="Times New Roman"/>
        </w:rPr>
        <w:footnoteReference w:id="15"/>
      </w:r>
      <w:r w:rsidRPr="00FF57FD">
        <w:rPr>
          <w:rFonts w:ascii="Times New Roman" w:hAnsi="Times New Roman" w:cs="Times New Roman"/>
        </w:rPr>
        <w:t xml:space="preserve"> who was fired for “unbecoming” conduct when he joined a gay softball league.  A third case involved an employee of a funeral home.  She had, six years earlier, begun work at the funeral home presenting as a male, but when she announced that she would begin living her life as a female, the funeral home fired her because it was “not going to work out.”</w:t>
      </w:r>
    </w:p>
    <w:p w14:paraId="228E2248" w14:textId="77777777" w:rsidR="00FF57FD" w:rsidRPr="00FF57FD" w:rsidRDefault="00FF57FD" w:rsidP="00FF57FD">
      <w:pPr>
        <w:spacing w:after="0" w:line="240" w:lineRule="auto"/>
        <w:rPr>
          <w:rFonts w:ascii="Times New Roman" w:hAnsi="Times New Roman" w:cs="Times New Roman"/>
        </w:rPr>
      </w:pPr>
    </w:p>
    <w:p w14:paraId="41C5FB00"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In all three cases, the Supreme Court ruled, the fired employees were the subjects of unlawful discrimination under Title VII because of their sex.  The Court said it in no uncertain terms:</w:t>
      </w:r>
    </w:p>
    <w:p w14:paraId="633AF67B" w14:textId="77777777" w:rsidR="00FF57FD" w:rsidRPr="00FF57FD" w:rsidRDefault="00FF57FD" w:rsidP="00FF57FD">
      <w:pPr>
        <w:spacing w:after="0" w:line="240" w:lineRule="auto"/>
        <w:rPr>
          <w:rFonts w:ascii="Times New Roman" w:hAnsi="Times New Roman" w:cs="Times New Roman"/>
        </w:rPr>
      </w:pPr>
    </w:p>
    <w:p w14:paraId="680EB176" w14:textId="77777777" w:rsidR="00FF57FD" w:rsidRPr="00FF57FD" w:rsidRDefault="00FF57FD" w:rsidP="00FF57FD">
      <w:pPr>
        <w:spacing w:after="0" w:line="240" w:lineRule="auto"/>
        <w:ind w:left="1440"/>
        <w:rPr>
          <w:rFonts w:ascii="Times New Roman" w:hAnsi="Times New Roman" w:cs="Times New Roman"/>
        </w:rPr>
      </w:pPr>
      <w:r w:rsidRPr="00FF57FD">
        <w:rPr>
          <w:rFonts w:ascii="Times New Roman" w:hAnsi="Times New Roman" w:cs="Times New Roman"/>
        </w:rPr>
        <w:t>An employer who fires an individual for being homosexual or transgender fires that person for traits or actions it would not have questioned in members of a different sex. Sex plays a necessary and undisguisable role in the decision, exactly what Title VII forbids.</w:t>
      </w:r>
    </w:p>
    <w:p w14:paraId="16BAE179" w14:textId="77777777" w:rsidR="00FF57FD" w:rsidRPr="00FF57FD" w:rsidRDefault="00FF57FD" w:rsidP="00FF57FD">
      <w:pPr>
        <w:spacing w:after="0" w:line="240" w:lineRule="auto"/>
        <w:rPr>
          <w:rFonts w:ascii="Times New Roman" w:hAnsi="Times New Roman" w:cs="Times New Roman"/>
        </w:rPr>
      </w:pPr>
    </w:p>
    <w:p w14:paraId="1A689E20" w14:textId="77777777" w:rsidR="00FF57FD" w:rsidRPr="00FF57FD" w:rsidRDefault="00FF57FD" w:rsidP="00FF57FD">
      <w:pPr>
        <w:spacing w:after="0" w:line="240" w:lineRule="auto"/>
        <w:ind w:left="1440"/>
        <w:rPr>
          <w:rFonts w:ascii="Times New Roman" w:hAnsi="Times New Roman" w:cs="Times New Roman"/>
        </w:rPr>
      </w:pPr>
      <w:r w:rsidRPr="00FF57FD">
        <w:rPr>
          <w:rFonts w:ascii="Times New Roman" w:hAnsi="Times New Roman" w:cs="Times New Roman"/>
        </w:rPr>
        <w:t>[I]t is impossible to discriminate against a person for being homosexual or transgender without discriminating against that individual based on sex.</w:t>
      </w:r>
    </w:p>
    <w:p w14:paraId="3A86E9D2" w14:textId="77777777" w:rsidR="00FF57FD" w:rsidRPr="00FF57FD" w:rsidRDefault="00FF57FD" w:rsidP="00FF57FD">
      <w:pPr>
        <w:spacing w:after="0" w:line="240" w:lineRule="auto"/>
        <w:rPr>
          <w:rFonts w:ascii="Times New Roman" w:hAnsi="Times New Roman" w:cs="Times New Roman"/>
        </w:rPr>
      </w:pPr>
    </w:p>
    <w:p w14:paraId="64C4FFF8"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Here is an excerpt from the Court’s reasoning:</w:t>
      </w:r>
    </w:p>
    <w:p w14:paraId="749CAF66" w14:textId="77777777" w:rsidR="00FF57FD" w:rsidRPr="00FF57FD" w:rsidRDefault="00FF57FD" w:rsidP="00FF57FD">
      <w:pPr>
        <w:spacing w:after="0" w:line="240" w:lineRule="auto"/>
        <w:rPr>
          <w:rFonts w:ascii="Times New Roman" w:hAnsi="Times New Roman" w:cs="Times New Roman"/>
        </w:rPr>
      </w:pPr>
    </w:p>
    <w:p w14:paraId="3A01C1E2" w14:textId="77777777" w:rsidR="00FF57FD" w:rsidRPr="00FF57FD" w:rsidRDefault="00FF57FD" w:rsidP="00FF57FD">
      <w:pPr>
        <w:spacing w:after="0" w:line="240" w:lineRule="auto"/>
        <w:ind w:left="1440"/>
        <w:rPr>
          <w:rFonts w:ascii="Times New Roman" w:hAnsi="Times New Roman" w:cs="Times New Roman"/>
        </w:rPr>
      </w:pPr>
      <w:r w:rsidRPr="00FF57FD">
        <w:rPr>
          <w:rFonts w:ascii="Times New Roman" w:hAnsi="Times New Roman" w:cs="Times New Roman"/>
        </w:rPr>
        <w:t>Consider two employees, both attracted to men. One is a man and one is a woman. They are otherwise materially identical from the employer’s point of view.  If the employer fires the male employee for no reason other than the fact he is attracted to men, the employer discriminates against him for traits or actions it tolerates in his female colleague. Put differently, the employer intentionally singles out an employee to fire in part on the employee’s sex, and the affected employee’s sex is a but-for cause of his discharge.  Or take an employer who fires a transgender person who was identified as a male at birth but who now identifies as a female. If the employer retains an otherwise identical employee who was identified as female at birth, the employer intentionally penalizes a person identified as male at birth for traits or actions that it tolerates in an employee identified as female at birth. Again, the individual employee’s sex plays an unmistakable and impermissible role in the discharge decision.</w:t>
      </w:r>
    </w:p>
    <w:p w14:paraId="7077CF3E" w14:textId="77777777" w:rsidR="00FF57FD" w:rsidRPr="00FF57FD" w:rsidRDefault="00FF57FD" w:rsidP="00FF57FD">
      <w:pPr>
        <w:spacing w:after="0" w:line="240" w:lineRule="auto"/>
        <w:rPr>
          <w:rFonts w:ascii="Times New Roman" w:hAnsi="Times New Roman" w:cs="Times New Roman"/>
        </w:rPr>
      </w:pPr>
    </w:p>
    <w:p w14:paraId="3F567D0D"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 xml:space="preserve">The Court emphasized that its ruling was solely on the facts before it:  employees who were </w:t>
      </w:r>
      <w:r w:rsidRPr="00FF57FD">
        <w:rPr>
          <w:rFonts w:ascii="Times New Roman" w:hAnsi="Times New Roman" w:cs="Times New Roman"/>
          <w:i/>
          <w:iCs/>
        </w:rPr>
        <w:t>fired</w:t>
      </w:r>
      <w:r w:rsidRPr="00FF57FD">
        <w:rPr>
          <w:rFonts w:ascii="Times New Roman" w:hAnsi="Times New Roman" w:cs="Times New Roman"/>
        </w:rPr>
        <w:t xml:space="preserve"> because of their sexual orientation or gender identity.  </w:t>
      </w:r>
    </w:p>
    <w:p w14:paraId="74083B8E" w14:textId="77777777" w:rsidR="00FF57FD" w:rsidRPr="00FF57FD" w:rsidRDefault="00FF57FD" w:rsidP="00FF57FD">
      <w:pPr>
        <w:spacing w:after="0" w:line="240" w:lineRule="auto"/>
        <w:rPr>
          <w:rFonts w:ascii="Times New Roman" w:hAnsi="Times New Roman" w:cs="Times New Roman"/>
        </w:rPr>
      </w:pPr>
    </w:p>
    <w:p w14:paraId="7AE19CA3" w14:textId="77777777" w:rsidR="00FF57FD" w:rsidRPr="00FF57FD" w:rsidRDefault="00FF57FD" w:rsidP="00FF57FD">
      <w:pPr>
        <w:spacing w:after="0" w:line="240" w:lineRule="auto"/>
        <w:ind w:left="1440"/>
        <w:rPr>
          <w:rFonts w:ascii="Times New Roman" w:hAnsi="Times New Roman" w:cs="Times New Roman"/>
        </w:rPr>
      </w:pPr>
      <w:r w:rsidRPr="00FF57FD">
        <w:rPr>
          <w:rFonts w:ascii="Times New Roman" w:hAnsi="Times New Roman" w:cs="Times New Roman"/>
        </w:rPr>
        <w:lastRenderedPageBreak/>
        <w:t>[W]e do not purport to address bathrooms, locker rooms, or anything else of the kind. The only question before us is whether an employer who fires someone simply for being homosexual or transgender has discharged or otherwise discriminated against that individual “because of such individual's sex.</w:t>
      </w:r>
    </w:p>
    <w:p w14:paraId="3C430257" w14:textId="77777777" w:rsidR="00FF57FD" w:rsidRPr="00FF57FD" w:rsidRDefault="00FF57FD" w:rsidP="00FF57FD">
      <w:pPr>
        <w:spacing w:after="0" w:line="240" w:lineRule="auto"/>
        <w:rPr>
          <w:rFonts w:ascii="Times New Roman" w:hAnsi="Times New Roman" w:cs="Times New Roman"/>
        </w:rPr>
      </w:pPr>
    </w:p>
    <w:p w14:paraId="71BD9773"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There are sure to be many future cases.</w:t>
      </w:r>
    </w:p>
    <w:p w14:paraId="1167FA6F" w14:textId="77777777" w:rsidR="00FF57FD" w:rsidRPr="00FF57FD" w:rsidRDefault="00FF57FD" w:rsidP="00FF57FD">
      <w:pPr>
        <w:spacing w:after="0" w:line="240" w:lineRule="auto"/>
        <w:rPr>
          <w:rFonts w:ascii="Times New Roman" w:hAnsi="Times New Roman" w:cs="Times New Roman"/>
        </w:rPr>
      </w:pPr>
    </w:p>
    <w:p w14:paraId="5CFF3E47" w14:textId="77777777" w:rsidR="00FF57FD" w:rsidRPr="00FF57FD" w:rsidRDefault="00FF57FD" w:rsidP="00FF57FD">
      <w:pPr>
        <w:spacing w:after="0" w:line="240" w:lineRule="auto"/>
        <w:jc w:val="center"/>
        <w:rPr>
          <w:rFonts w:ascii="Times New Roman" w:hAnsi="Times New Roman" w:cs="Times New Roman"/>
          <w:b/>
        </w:rPr>
      </w:pPr>
      <w:r w:rsidRPr="00FF57FD">
        <w:rPr>
          <w:rFonts w:ascii="Times New Roman" w:hAnsi="Times New Roman" w:cs="Times New Roman"/>
          <w:b/>
        </w:rPr>
        <w:t>The Age Discrimination in Employment Act of 1967</w:t>
      </w:r>
    </w:p>
    <w:p w14:paraId="47050E59" w14:textId="77777777" w:rsidR="00FF57FD" w:rsidRPr="00FF57FD" w:rsidRDefault="00FF57FD" w:rsidP="00FF57FD">
      <w:pPr>
        <w:spacing w:after="0" w:line="240" w:lineRule="auto"/>
        <w:rPr>
          <w:rFonts w:ascii="Times New Roman" w:hAnsi="Times New Roman" w:cs="Times New Roman"/>
        </w:rPr>
      </w:pPr>
    </w:p>
    <w:p w14:paraId="28043D08"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Just as Title VII of the Civil Rights Act of 1964 prohibits discrimination in hiring, firing, compensation, or in the “terms, conditions, or privileges of employment” on five grounds, the Age Discrimination in Employment Act, passed three years later, prohibits discrimination in the same way, on one ground:  the age of the individual above 40.  The ADEA became applicable to public employers in 1974.</w:t>
      </w:r>
    </w:p>
    <w:p w14:paraId="45A6276F" w14:textId="77777777" w:rsidR="00FF57FD" w:rsidRPr="00FF57FD" w:rsidRDefault="00FF57FD" w:rsidP="00FF57FD">
      <w:pPr>
        <w:spacing w:after="0" w:line="240" w:lineRule="auto"/>
        <w:rPr>
          <w:rFonts w:ascii="Times New Roman" w:hAnsi="Times New Roman" w:cs="Times New Roman"/>
        </w:rPr>
      </w:pPr>
    </w:p>
    <w:p w14:paraId="1243AAC3"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The law has developed under the ADEA in parallel to the law under Title VII.  An employer may be liable both for intentional discrimination and unintentional discrimination the form of disparate impact, in ways similar to Title VII.</w:t>
      </w:r>
      <w:r w:rsidRPr="00FF57FD">
        <w:rPr>
          <w:rStyle w:val="FootnoteReference"/>
          <w:rFonts w:ascii="Times New Roman" w:hAnsi="Times New Roman" w:cs="Times New Roman"/>
        </w:rPr>
        <w:footnoteReference w:id="16"/>
      </w:r>
      <w:r w:rsidRPr="00FF57FD">
        <w:rPr>
          <w:rFonts w:ascii="Times New Roman" w:hAnsi="Times New Roman" w:cs="Times New Roman"/>
        </w:rPr>
        <w:t xml:space="preserve">  The indirect method of proving intentional discrimination, as set out in the </w:t>
      </w:r>
      <w:r w:rsidRPr="00FF57FD">
        <w:rPr>
          <w:rFonts w:ascii="Times New Roman" w:hAnsi="Times New Roman" w:cs="Times New Roman"/>
          <w:i/>
        </w:rPr>
        <w:t>McDonnell Douglas</w:t>
      </w:r>
      <w:r w:rsidRPr="00FF57FD">
        <w:rPr>
          <w:rFonts w:ascii="Times New Roman" w:hAnsi="Times New Roman" w:cs="Times New Roman"/>
        </w:rPr>
        <w:t xml:space="preserve"> case, applies to the ADEA in ways very similar to Title VII.  </w:t>
      </w:r>
    </w:p>
    <w:p w14:paraId="48FAC1B9" w14:textId="77777777" w:rsidR="00FF57FD" w:rsidRPr="00FF57FD" w:rsidRDefault="00FF57FD" w:rsidP="00FF57FD">
      <w:pPr>
        <w:spacing w:after="0" w:line="240" w:lineRule="auto"/>
        <w:rPr>
          <w:rFonts w:ascii="Times New Roman" w:hAnsi="Times New Roman" w:cs="Times New Roman"/>
        </w:rPr>
      </w:pPr>
    </w:p>
    <w:p w14:paraId="56E6A99A"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Harassment on account of age does not, however, show up in lawsuits in the same way that harassment on account of sex does.</w:t>
      </w:r>
    </w:p>
    <w:p w14:paraId="6A055927" w14:textId="77777777" w:rsidR="00FF57FD" w:rsidRPr="00FF57FD" w:rsidRDefault="00FF57FD" w:rsidP="00FF57FD">
      <w:pPr>
        <w:spacing w:after="0" w:line="240" w:lineRule="auto"/>
        <w:rPr>
          <w:rFonts w:ascii="Times New Roman" w:hAnsi="Times New Roman" w:cs="Times New Roman"/>
        </w:rPr>
      </w:pPr>
    </w:p>
    <w:p w14:paraId="6A3A0FB2" w14:textId="77777777" w:rsidR="00FF57FD" w:rsidRPr="00FF57FD" w:rsidRDefault="00FF57FD" w:rsidP="00FF57FD">
      <w:pPr>
        <w:spacing w:after="0" w:line="240" w:lineRule="auto"/>
        <w:rPr>
          <w:rFonts w:ascii="Times New Roman" w:hAnsi="Times New Roman" w:cs="Times New Roman"/>
        </w:rPr>
      </w:pPr>
    </w:p>
    <w:p w14:paraId="50791A65" w14:textId="77777777" w:rsidR="00FF57FD" w:rsidRPr="00FF57FD" w:rsidRDefault="00FF57FD" w:rsidP="00FF57FD">
      <w:pPr>
        <w:spacing w:after="0" w:line="240" w:lineRule="auto"/>
        <w:jc w:val="center"/>
        <w:rPr>
          <w:rFonts w:ascii="Times New Roman" w:hAnsi="Times New Roman" w:cs="Times New Roman"/>
          <w:b/>
        </w:rPr>
      </w:pPr>
      <w:r w:rsidRPr="00FF57FD">
        <w:rPr>
          <w:rFonts w:ascii="Times New Roman" w:hAnsi="Times New Roman" w:cs="Times New Roman"/>
          <w:b/>
        </w:rPr>
        <w:t>The Americans with Disabilities Act of 1990</w:t>
      </w:r>
    </w:p>
    <w:p w14:paraId="50F682C3" w14:textId="77777777" w:rsidR="00FF57FD" w:rsidRPr="00FF57FD" w:rsidRDefault="00FF57FD" w:rsidP="00FF57FD">
      <w:pPr>
        <w:spacing w:after="0" w:line="240" w:lineRule="auto"/>
        <w:rPr>
          <w:rFonts w:ascii="Times New Roman" w:hAnsi="Times New Roman" w:cs="Times New Roman"/>
        </w:rPr>
      </w:pPr>
    </w:p>
    <w:p w14:paraId="1C03462A"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There are three great employment discrimination statutes.  The first was Title VII of the Civil Rights Act of 1964.  The second was the Age Discrimination in Employment Act of 1967.  The third was the Americans With Disabilities Act of 1990.</w:t>
      </w:r>
    </w:p>
    <w:p w14:paraId="44A76C22" w14:textId="77777777" w:rsidR="00FF57FD" w:rsidRPr="00FF57FD" w:rsidRDefault="00FF57FD" w:rsidP="00FF57FD">
      <w:pPr>
        <w:spacing w:after="0" w:line="240" w:lineRule="auto"/>
        <w:rPr>
          <w:rFonts w:ascii="Times New Roman" w:hAnsi="Times New Roman" w:cs="Times New Roman"/>
        </w:rPr>
      </w:pPr>
    </w:p>
    <w:p w14:paraId="65EC3B00"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The ADA followed by twenty years the federal Rehabilitation Act and by seven the North Carolina Handicapped Persons Protections Act.</w:t>
      </w:r>
      <w:r w:rsidRPr="00FF57FD">
        <w:rPr>
          <w:rFonts w:ascii="Times New Roman" w:hAnsi="Times New Roman" w:cs="Times New Roman"/>
          <w:vertAlign w:val="superscript"/>
        </w:rPr>
        <w:footnoteReference w:id="17"/>
      </w:r>
      <w:r w:rsidRPr="00FF57FD">
        <w:rPr>
          <w:rFonts w:ascii="Times New Roman" w:hAnsi="Times New Roman" w:cs="Times New Roman"/>
        </w:rPr>
        <w:t xml:space="preserve">  Neither of these statutes had an impact remotely as great as that of the ADA.  The ADA brought disability discrimination to the fore.</w:t>
      </w:r>
    </w:p>
    <w:p w14:paraId="32A0695C"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r>
    </w:p>
    <w:p w14:paraId="4EF6B9A6"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The ADA prohibits discrimination against disabled individuals by virtually all employers, public and private. Here is a bare bones statement of its requirements:  No employer may discriminate against a qualified individual with a disability because of the disability of such individual in the application process, hiring, advancement, discharge, compensation, or training or in other terms, conditions, and privileges of employment.</w:t>
      </w:r>
    </w:p>
    <w:p w14:paraId="6A3CFD3A" w14:textId="77777777" w:rsidR="00FF57FD" w:rsidRPr="00FF57FD" w:rsidRDefault="00FF57FD" w:rsidP="00FF57FD">
      <w:pPr>
        <w:spacing w:after="0" w:line="240" w:lineRule="auto"/>
        <w:rPr>
          <w:rFonts w:ascii="Times New Roman" w:hAnsi="Times New Roman" w:cs="Times New Roman"/>
        </w:rPr>
      </w:pPr>
    </w:p>
    <w:p w14:paraId="40CB97CD"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 xml:space="preserve">The ADA is fundamentally similar to the laws against employment discrimination on account of race, sex, and age in most aspects.  The notions of disparate treatment and disparate impact apply in the same way, for instance.  In one essential way, however, the law of </w:t>
      </w:r>
      <w:r w:rsidRPr="00FF57FD">
        <w:rPr>
          <w:rFonts w:ascii="Times New Roman" w:hAnsi="Times New Roman" w:cs="Times New Roman"/>
        </w:rPr>
        <w:lastRenderedPageBreak/>
        <w:t>discrimination in employment on account of disability is different.  With respect to race, sex, and age, an employer is simply not in violation of the law if its actions are taken without an intent to discriminate and do not adversely impact a particular group.  The employer has no duty to seek out ways to help a person who is black or female or old get and hold a job.  The ADA, however, does put that responsibility on employers with respect to discrimination based on disability. An employer must determine whether, with respect to a particular person with a disability, there is anything within reason that the employer could do to make it possible for the person to perform the essential functions of the job despite his or her disability.</w:t>
      </w:r>
    </w:p>
    <w:p w14:paraId="5D8B655E" w14:textId="77777777" w:rsidR="00FF57FD" w:rsidRPr="00FF57FD" w:rsidRDefault="00FF57FD" w:rsidP="00FF57FD">
      <w:pPr>
        <w:spacing w:after="0" w:line="240" w:lineRule="auto"/>
        <w:rPr>
          <w:rFonts w:ascii="Times New Roman" w:hAnsi="Times New Roman" w:cs="Times New Roman"/>
        </w:rPr>
      </w:pPr>
    </w:p>
    <w:p w14:paraId="47BCB571"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To accomplish this goal, the ADA includes within the definition of “discrimination” “not making reasonable accommodations to the known physical or mental limitations of an otherwise qualified individual with a disability . . . unless [the employer] can demonstrate that the accommodation would impose an undue hardship on the operation of [its] business.”</w:t>
      </w:r>
      <w:r w:rsidRPr="00FF57FD">
        <w:rPr>
          <w:rFonts w:ascii="Times New Roman" w:hAnsi="Times New Roman" w:cs="Times New Roman"/>
          <w:vertAlign w:val="superscript"/>
        </w:rPr>
        <w:footnoteReference w:id="18"/>
      </w:r>
      <w:r w:rsidRPr="00FF57FD">
        <w:rPr>
          <w:rFonts w:ascii="Times New Roman" w:hAnsi="Times New Roman" w:cs="Times New Roman"/>
        </w:rPr>
        <w:t xml:space="preserve"> To fail to make reasonable accommodation to a person’s disability is unlawful under the ADA.</w:t>
      </w:r>
    </w:p>
    <w:p w14:paraId="2D899847" w14:textId="77777777" w:rsidR="00FF57FD" w:rsidRPr="00FF57FD" w:rsidRDefault="00FF57FD" w:rsidP="00FF57FD">
      <w:pPr>
        <w:spacing w:after="0" w:line="240" w:lineRule="auto"/>
        <w:rPr>
          <w:rFonts w:ascii="Times New Roman" w:hAnsi="Times New Roman" w:cs="Times New Roman"/>
        </w:rPr>
      </w:pPr>
    </w:p>
    <w:p w14:paraId="12A3A8AC"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A special kind of employment discrimination under the ADA is the unlawful use of medical exams.</w:t>
      </w:r>
      <w:r w:rsidRPr="00FF57FD">
        <w:rPr>
          <w:rFonts w:ascii="Times New Roman" w:hAnsi="Times New Roman" w:cs="Times New Roman"/>
          <w:vertAlign w:val="superscript"/>
        </w:rPr>
        <w:footnoteReference w:id="19"/>
      </w:r>
      <w:r w:rsidRPr="00FF57FD">
        <w:rPr>
          <w:rFonts w:ascii="Times New Roman" w:hAnsi="Times New Roman" w:cs="Times New Roman"/>
        </w:rPr>
        <w:t xml:space="preserve"> The statute says, “The prohibition against discrimination . . . shall include medical examinations and inquiries.” An employer “shall not conduct a medical examination or make inquiries of a job applicant as to whether such applicant is an individual with a disability or as to the nature or severity of such disability.” But an employer “may make preemployment inquiries into the ability of an applicant to perform job</w:t>
      </w:r>
      <w:r w:rsidRPr="00FF57FD">
        <w:rPr>
          <w:rFonts w:ascii="Times New Roman" w:hAnsi="Times New Roman" w:cs="Times New Roman"/>
        </w:rPr>
        <w:noBreakHyphen/>
        <w:t>related functions.” It would be lawful for the employer to say, “This job requires extensive supervision of children on the athletic field. Can you perform that duty?” It would be unlawful for the employer to say, “Do you have any condition that would prevent you from walking or running after children on the athletic field?”</w:t>
      </w:r>
    </w:p>
    <w:p w14:paraId="2B8A8FE6"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An employer “may require a medical examination after an offer of employment has been made to a job applicant and prior to the commencement of the employment duties of such applicant, and may condition an offer of employment on such examination” if (1) “all entering employees are subjected to such an examination regardless of disability” and (2) the information gained is maintained separately and confidentially, except that supervisors and first aid people who need to know can be told.</w:t>
      </w:r>
    </w:p>
    <w:p w14:paraId="7DBF33FB" w14:textId="77777777" w:rsidR="00FF57FD" w:rsidRPr="00FF57FD" w:rsidRDefault="00FF57FD" w:rsidP="00FF57FD">
      <w:pPr>
        <w:spacing w:after="0" w:line="240" w:lineRule="auto"/>
        <w:rPr>
          <w:rFonts w:ascii="Times New Roman" w:hAnsi="Times New Roman" w:cs="Times New Roman"/>
        </w:rPr>
      </w:pPr>
    </w:p>
    <w:p w14:paraId="2B3A24B0" w14:textId="77777777" w:rsidR="00FF57FD" w:rsidRPr="00FF57FD" w:rsidRDefault="00FF57FD" w:rsidP="00FF57FD">
      <w:pPr>
        <w:spacing w:after="0" w:line="240" w:lineRule="auto"/>
        <w:rPr>
          <w:rFonts w:ascii="Times New Roman" w:hAnsi="Times New Roman" w:cs="Times New Roman"/>
          <w:i/>
        </w:rPr>
      </w:pPr>
      <w:r w:rsidRPr="00FF57FD">
        <w:rPr>
          <w:rFonts w:ascii="Times New Roman" w:hAnsi="Times New Roman" w:cs="Times New Roman"/>
          <w:i/>
        </w:rPr>
        <w:t>The ADAAA of 2008</w:t>
      </w:r>
    </w:p>
    <w:p w14:paraId="709E3B31" w14:textId="77777777" w:rsidR="00FF57FD" w:rsidRPr="00FF57FD" w:rsidRDefault="00FF57FD" w:rsidP="00FF57FD">
      <w:pPr>
        <w:spacing w:after="0" w:line="240" w:lineRule="auto"/>
        <w:rPr>
          <w:rFonts w:ascii="Times New Roman" w:hAnsi="Times New Roman" w:cs="Times New Roman"/>
        </w:rPr>
      </w:pPr>
    </w:p>
    <w:p w14:paraId="0151BD0B"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 xml:space="preserve">In order to have the benefit of the protections of the ADA, an individual must have a “disability.”  Until the 2008 passage of the Americans With Disabilities Act Amendments Act, a familiar first question in the analysis of possible discrimination with respect to a particular employee or applicant was whether that individual actually had a disability within the meaning of the act.  A disability was defined as a physical or mental impairment that substantially limited a major life activity.  The courts were thoroughly engaged in determining what constitutes an impairment, what constitutes a major life activity, and what it means to be substantially limited.  In a number of cases, courts reached decisions that limited the scope of the ADA by narrowing the scope of the notion of “disability.”  For example, in 2002 in </w:t>
      </w:r>
      <w:r w:rsidRPr="00FF57FD">
        <w:rPr>
          <w:rFonts w:ascii="Times New Roman" w:hAnsi="Times New Roman" w:cs="Times New Roman"/>
          <w:i/>
        </w:rPr>
        <w:t>Toyota Motor Manufacturing v. Williams</w:t>
      </w:r>
      <w:r w:rsidRPr="00FF57FD">
        <w:rPr>
          <w:rFonts w:ascii="Times New Roman" w:hAnsi="Times New Roman" w:cs="Times New Roman"/>
        </w:rPr>
        <w:t>,</w:t>
      </w:r>
      <w:r w:rsidRPr="00FF57FD">
        <w:rPr>
          <w:rStyle w:val="FootnoteReference"/>
          <w:rFonts w:ascii="Times New Roman" w:hAnsi="Times New Roman" w:cs="Times New Roman"/>
        </w:rPr>
        <w:footnoteReference w:id="20"/>
      </w:r>
      <w:r w:rsidRPr="00FF57FD">
        <w:rPr>
          <w:rFonts w:ascii="Times New Roman" w:hAnsi="Times New Roman" w:cs="Times New Roman"/>
        </w:rPr>
        <w:t xml:space="preserve"> the U.S. Supreme Court held that in determining whether an impairment constituted a </w:t>
      </w:r>
      <w:r w:rsidRPr="00FF57FD">
        <w:rPr>
          <w:rFonts w:ascii="Times New Roman" w:hAnsi="Times New Roman" w:cs="Times New Roman"/>
        </w:rPr>
        <w:lastRenderedPageBreak/>
        <w:t>disability, a court should look not only to the effect of the impairment in the workplace, but to the effect of the impairment on a person’s daily life.  That is, an impairment might keep a person from working, but if it did not adversely affect the person in daily life, it would not be a disability.</w:t>
      </w:r>
    </w:p>
    <w:p w14:paraId="37CDF463" w14:textId="77777777" w:rsidR="00FF57FD" w:rsidRPr="00FF57FD" w:rsidRDefault="00FF57FD" w:rsidP="00FF57FD">
      <w:pPr>
        <w:spacing w:after="0" w:line="240" w:lineRule="auto"/>
        <w:rPr>
          <w:rFonts w:ascii="Times New Roman" w:hAnsi="Times New Roman" w:cs="Times New Roman"/>
        </w:rPr>
      </w:pPr>
    </w:p>
    <w:p w14:paraId="732545F1"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 xml:space="preserve">In 2008, Congress passed the ADAAA to reverse the trend, expanding the concept of “disability.”  Congress made this expansion with three basic changes to the ADA.  </w:t>
      </w:r>
    </w:p>
    <w:p w14:paraId="77F91AE5" w14:textId="77777777" w:rsidR="00FF57FD" w:rsidRPr="00FF57FD" w:rsidRDefault="00FF57FD" w:rsidP="00FF57FD">
      <w:pPr>
        <w:spacing w:after="0" w:line="240" w:lineRule="auto"/>
        <w:rPr>
          <w:rFonts w:ascii="Times New Roman" w:hAnsi="Times New Roman" w:cs="Times New Roman"/>
        </w:rPr>
      </w:pPr>
    </w:p>
    <w:p w14:paraId="2A89B635"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First, it provided that the fact that an impairment can be offset by mitigating measures (medicine or devices of some sort) does not mean that it is not a disability.  That is, if a person has an impairment that can be fully controlled, it is still a disability.  The exception is vision correction.  If glasses can bring you back to regular vision, you are not disabled.</w:t>
      </w:r>
    </w:p>
    <w:p w14:paraId="001FE234" w14:textId="77777777" w:rsidR="00FF57FD" w:rsidRPr="00FF57FD" w:rsidRDefault="00FF57FD" w:rsidP="00FF57FD">
      <w:pPr>
        <w:spacing w:after="0" w:line="240" w:lineRule="auto"/>
        <w:rPr>
          <w:rFonts w:ascii="Times New Roman" w:hAnsi="Times New Roman" w:cs="Times New Roman"/>
        </w:rPr>
      </w:pPr>
    </w:p>
    <w:p w14:paraId="62359B49"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Second, it clarified that an impairment that is episodic or in remission is a disability if it would substantially limit a major life activity when active.  The fact that it is not active now does not mean it is not a disability.</w:t>
      </w:r>
    </w:p>
    <w:p w14:paraId="3D933AC7" w14:textId="77777777" w:rsidR="00FF57FD" w:rsidRPr="00FF57FD" w:rsidRDefault="00FF57FD" w:rsidP="00FF57FD">
      <w:pPr>
        <w:spacing w:after="0" w:line="240" w:lineRule="auto"/>
        <w:rPr>
          <w:rFonts w:ascii="Times New Roman" w:hAnsi="Times New Roman" w:cs="Times New Roman"/>
        </w:rPr>
      </w:pPr>
    </w:p>
    <w:p w14:paraId="5442C4CD"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 xml:space="preserve">And third, it expanded the list of “major life activities to include </w:t>
      </w:r>
      <w:r w:rsidRPr="00FF57FD">
        <w:rPr>
          <w:rFonts w:ascii="Times New Roman" w:eastAsia="Times New Roman" w:hAnsi="Times New Roman" w:cs="Times New Roman"/>
        </w:rPr>
        <w:t>major bodily functions (“functions of the immune system, normal cell growth, digestive, bowel, bladder, neurological, brain, respiratory, circulatory, endocrine, and reproductive functions”).</w:t>
      </w:r>
    </w:p>
    <w:p w14:paraId="2084C484" w14:textId="77777777" w:rsidR="00FF57FD" w:rsidRPr="00FF57FD" w:rsidRDefault="00FF57FD" w:rsidP="00FF57FD">
      <w:pPr>
        <w:spacing w:after="0" w:line="240" w:lineRule="auto"/>
        <w:rPr>
          <w:rFonts w:ascii="Times New Roman" w:hAnsi="Times New Roman" w:cs="Times New Roman"/>
        </w:rPr>
      </w:pPr>
    </w:p>
    <w:p w14:paraId="2073BFD7"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As a practical matter, just about any physical or mental impairment now constitutes a disability.</w:t>
      </w:r>
    </w:p>
    <w:p w14:paraId="13936450" w14:textId="77777777" w:rsidR="00FF57FD" w:rsidRPr="00FF57FD" w:rsidRDefault="00FF57FD" w:rsidP="00FF57FD">
      <w:pPr>
        <w:spacing w:after="0" w:line="240" w:lineRule="auto"/>
        <w:rPr>
          <w:rFonts w:ascii="Times New Roman" w:hAnsi="Times New Roman" w:cs="Times New Roman"/>
        </w:rPr>
      </w:pPr>
    </w:p>
    <w:p w14:paraId="187C164D" w14:textId="77777777" w:rsidR="00FF57FD" w:rsidRPr="00FF57FD" w:rsidRDefault="00FF57FD" w:rsidP="00FF57FD">
      <w:pPr>
        <w:spacing w:after="0" w:line="240" w:lineRule="auto"/>
        <w:rPr>
          <w:rFonts w:ascii="Times New Roman" w:hAnsi="Times New Roman" w:cs="Times New Roman"/>
        </w:rPr>
      </w:pPr>
    </w:p>
    <w:p w14:paraId="6B703527" w14:textId="77777777" w:rsidR="00FF57FD" w:rsidRPr="00FF57FD" w:rsidRDefault="00FF57FD" w:rsidP="00FF57FD">
      <w:pPr>
        <w:spacing w:after="0" w:line="240" w:lineRule="auto"/>
        <w:jc w:val="center"/>
        <w:rPr>
          <w:rFonts w:ascii="Times New Roman" w:hAnsi="Times New Roman" w:cs="Times New Roman"/>
          <w:b/>
        </w:rPr>
      </w:pPr>
      <w:r w:rsidRPr="00FF57FD">
        <w:rPr>
          <w:rFonts w:ascii="Times New Roman" w:hAnsi="Times New Roman" w:cs="Times New Roman"/>
          <w:b/>
        </w:rPr>
        <w:t>Genetic Information Nondiscrimination Act of 2008</w:t>
      </w:r>
    </w:p>
    <w:p w14:paraId="4AB40750" w14:textId="77777777" w:rsidR="00FF57FD" w:rsidRPr="00FF57FD" w:rsidRDefault="00FF57FD" w:rsidP="00FF57FD">
      <w:pPr>
        <w:spacing w:after="0" w:line="240" w:lineRule="auto"/>
        <w:rPr>
          <w:rFonts w:ascii="Times New Roman" w:hAnsi="Times New Roman" w:cs="Times New Roman"/>
        </w:rPr>
      </w:pPr>
    </w:p>
    <w:p w14:paraId="7789627F"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A supervisor overhears one employee tell another that her mother has developed breast cancer.  In that inadvertent way, the supervisor—and therefore the employer—has acquired genetic information about the employee.  Under the Genetic Information Nondiscrimination Act (GINA), the acquisition of genetic information is unlawful.  Has the employer violated GINA?</w:t>
      </w:r>
    </w:p>
    <w:p w14:paraId="6C94AB8E" w14:textId="77777777" w:rsidR="00FF57FD" w:rsidRPr="00FF57FD" w:rsidRDefault="00FF57FD" w:rsidP="00FF57FD">
      <w:pPr>
        <w:pStyle w:val="FootnoteText"/>
      </w:pPr>
    </w:p>
    <w:p w14:paraId="1E864586" w14:textId="77777777" w:rsidR="00FF57FD" w:rsidRPr="00FF57FD" w:rsidRDefault="00FF57FD" w:rsidP="00FF57FD">
      <w:pPr>
        <w:pStyle w:val="FootnoteText"/>
        <w:rPr>
          <w:sz w:val="24"/>
          <w:szCs w:val="24"/>
        </w:rPr>
      </w:pPr>
      <w:r w:rsidRPr="00FF57FD">
        <w:rPr>
          <w:sz w:val="24"/>
          <w:szCs w:val="24"/>
        </w:rPr>
        <w:tab/>
        <w:t>GINA was enacted in 2008 and its provisions that govern the actions of employers became effective in 2009.  GINA is both a non-discrimination statute and a confidentiality statute.  It was enacted to encourage people to make use of the health advantages related to advances in genetic science without fearing that they will lose their health insurance or their jobs.</w:t>
      </w:r>
    </w:p>
    <w:p w14:paraId="2025DE8D" w14:textId="77777777" w:rsidR="00FF57FD" w:rsidRPr="00FF57FD" w:rsidRDefault="00FF57FD" w:rsidP="00FF57FD">
      <w:pPr>
        <w:spacing w:after="0" w:line="240" w:lineRule="auto"/>
        <w:rPr>
          <w:rFonts w:ascii="Times New Roman" w:hAnsi="Times New Roman" w:cs="Times New Roman"/>
        </w:rPr>
      </w:pPr>
    </w:p>
    <w:p w14:paraId="67D79BE4"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The employment provisions apply to the same employers and employees as Title VII of the Civil Rights Act of 1964, so in that respect its provisions are very familiar.  It is modeled after Title VII, and its enforcement is through the Equal Employment Opportunity Commission, as with Title VII.  GINA is found at 42 U.S.C. 2000ff et. seq. and the regulations adopted under it are found at 29 CFR Part 1635.</w:t>
      </w:r>
    </w:p>
    <w:p w14:paraId="55845D68" w14:textId="77777777" w:rsidR="00FF57FD" w:rsidRPr="00FF57FD" w:rsidRDefault="00FF57FD" w:rsidP="00FF57FD">
      <w:pPr>
        <w:spacing w:after="0" w:line="240" w:lineRule="auto"/>
        <w:rPr>
          <w:rFonts w:ascii="Times New Roman" w:hAnsi="Times New Roman" w:cs="Times New Roman"/>
        </w:rPr>
      </w:pPr>
    </w:p>
    <w:p w14:paraId="520047FB"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 xml:space="preserve">Its prohibitions on the use of genetic information are absolute.  There are no affirmative defenses related to hiring, discharge, or other employment actions.  There is no “direct threat” defense as with the Americans with Disabilities Act (ADA).  There is no “business necessity” defense as with Title VII.  Why?  Because GINA’s protections run to people who are not </w:t>
      </w:r>
      <w:r w:rsidRPr="00FF57FD">
        <w:rPr>
          <w:rFonts w:ascii="Times New Roman" w:hAnsi="Times New Roman" w:cs="Times New Roman"/>
        </w:rPr>
        <w:lastRenderedPageBreak/>
        <w:t>currently incapacitated or disabled (once a disability does develop, then the ADA provides the fullest protection).  Rather, GINA is chiefly protecting people who are at risk of future impairment because of their genetic profile, and that future impairment has no impact on their current qualifications for employment or ability to do a job.</w:t>
      </w:r>
    </w:p>
    <w:p w14:paraId="6FD642EB" w14:textId="77777777" w:rsidR="00FF57FD" w:rsidRPr="00FF57FD" w:rsidRDefault="00FF57FD" w:rsidP="00FF57FD">
      <w:pPr>
        <w:spacing w:after="0" w:line="240" w:lineRule="auto"/>
        <w:rPr>
          <w:rFonts w:ascii="Times New Roman" w:hAnsi="Times New Roman" w:cs="Times New Roman"/>
        </w:rPr>
      </w:pPr>
    </w:p>
    <w:p w14:paraId="09D2304E"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 xml:space="preserve">“Genetic information” includes an individual’s genetic tests, genetic tests of family members, the fact that an individual has used genetic services, and genetic information of a fetus carried by an individual or family member.  Most importantly, the term also includes family medical history.  It is with respect to family medical information that employers stand the greatest chance of running into trouble under GINA.  And that’s because GINA prohibits not only discriminating on account of genetic information that an employer may have acquired, but it also prohibits the very </w:t>
      </w:r>
      <w:r w:rsidRPr="00FF57FD">
        <w:rPr>
          <w:rFonts w:ascii="Times New Roman" w:hAnsi="Times New Roman" w:cs="Times New Roman"/>
          <w:i/>
        </w:rPr>
        <w:t>acquisition</w:t>
      </w:r>
      <w:r w:rsidRPr="00FF57FD">
        <w:rPr>
          <w:rFonts w:ascii="Times New Roman" w:hAnsi="Times New Roman" w:cs="Times New Roman"/>
        </w:rPr>
        <w:t xml:space="preserve"> of such information, including family medical history.</w:t>
      </w:r>
    </w:p>
    <w:p w14:paraId="5F93C86C" w14:textId="77777777" w:rsidR="00FF57FD" w:rsidRPr="00FF57FD" w:rsidRDefault="00FF57FD" w:rsidP="00FF57FD">
      <w:pPr>
        <w:spacing w:after="0" w:line="240" w:lineRule="auto"/>
        <w:ind w:firstLine="720"/>
        <w:rPr>
          <w:rFonts w:ascii="Times New Roman" w:hAnsi="Times New Roman" w:cs="Times New Roman"/>
          <w:b/>
          <w:i/>
        </w:rPr>
      </w:pPr>
    </w:p>
    <w:p w14:paraId="437CB7E4" w14:textId="77777777" w:rsidR="00FF57FD" w:rsidRPr="00FF57FD" w:rsidRDefault="00FF57FD" w:rsidP="00FF57FD">
      <w:pPr>
        <w:spacing w:after="0" w:line="240" w:lineRule="auto"/>
        <w:ind w:firstLine="720"/>
        <w:rPr>
          <w:rFonts w:ascii="Times New Roman" w:hAnsi="Times New Roman" w:cs="Times New Roman"/>
        </w:rPr>
      </w:pPr>
      <w:r w:rsidRPr="00FF57FD">
        <w:rPr>
          <w:rFonts w:ascii="Times New Roman" w:hAnsi="Times New Roman" w:cs="Times New Roman"/>
          <w:i/>
        </w:rPr>
        <w:t>Discrimination Prohibited</w:t>
      </w:r>
      <w:r w:rsidRPr="00FF57FD">
        <w:rPr>
          <w:rFonts w:ascii="Times New Roman" w:hAnsi="Times New Roman" w:cs="Times New Roman"/>
        </w:rPr>
        <w:t>.</w:t>
      </w:r>
      <w:r w:rsidRPr="00FF57FD">
        <w:rPr>
          <w:rFonts w:ascii="Times New Roman" w:hAnsi="Times New Roman" w:cs="Times New Roman"/>
          <w:b/>
        </w:rPr>
        <w:t xml:space="preserve">  </w:t>
      </w:r>
      <w:r w:rsidRPr="00FF57FD">
        <w:rPr>
          <w:rFonts w:ascii="Times New Roman" w:hAnsi="Times New Roman" w:cs="Times New Roman"/>
        </w:rPr>
        <w:t>GINA prohibits an employer from discriminating in hiring, discharge, compensation, or the terms, privileges, or conditions of employment because of an individual’s genetic information.  Harassment on account of genetic information is prohibited, as is retaliation for opposing discrimination on account of genetic information.</w:t>
      </w:r>
    </w:p>
    <w:p w14:paraId="22A78BCF" w14:textId="77777777" w:rsidR="00FF57FD" w:rsidRPr="00FF57FD" w:rsidRDefault="00FF57FD" w:rsidP="00FF57FD">
      <w:pPr>
        <w:spacing w:after="0" w:line="240" w:lineRule="auto"/>
        <w:ind w:firstLine="720"/>
        <w:rPr>
          <w:rFonts w:ascii="Times New Roman" w:hAnsi="Times New Roman" w:cs="Times New Roman"/>
          <w:b/>
          <w:i/>
        </w:rPr>
      </w:pPr>
    </w:p>
    <w:p w14:paraId="10AB3FD8" w14:textId="77777777" w:rsidR="00FF57FD" w:rsidRPr="00FF57FD" w:rsidRDefault="00FF57FD" w:rsidP="00FF57FD">
      <w:pPr>
        <w:spacing w:after="0" w:line="240" w:lineRule="auto"/>
        <w:ind w:firstLine="720"/>
        <w:rPr>
          <w:rFonts w:ascii="Times New Roman" w:hAnsi="Times New Roman" w:cs="Times New Roman"/>
        </w:rPr>
      </w:pPr>
      <w:r w:rsidRPr="00FF57FD">
        <w:rPr>
          <w:rFonts w:ascii="Times New Roman" w:hAnsi="Times New Roman" w:cs="Times New Roman"/>
          <w:i/>
        </w:rPr>
        <w:t>Acquisition Prohibited</w:t>
      </w:r>
      <w:r w:rsidRPr="00FF57FD">
        <w:rPr>
          <w:rFonts w:ascii="Times New Roman" w:hAnsi="Times New Roman" w:cs="Times New Roman"/>
        </w:rPr>
        <w:t>.</w:t>
      </w:r>
      <w:r w:rsidRPr="00FF57FD">
        <w:rPr>
          <w:rFonts w:ascii="Times New Roman" w:hAnsi="Times New Roman" w:cs="Times New Roman"/>
          <w:b/>
        </w:rPr>
        <w:t xml:space="preserve">  </w:t>
      </w:r>
      <w:r w:rsidRPr="00FF57FD">
        <w:rPr>
          <w:rFonts w:ascii="Times New Roman" w:hAnsi="Times New Roman" w:cs="Times New Roman"/>
        </w:rPr>
        <w:t xml:space="preserve">GINA prohibits an employer from simply </w:t>
      </w:r>
      <w:r w:rsidRPr="00FF57FD">
        <w:rPr>
          <w:rFonts w:ascii="Times New Roman" w:hAnsi="Times New Roman" w:cs="Times New Roman"/>
          <w:i/>
        </w:rPr>
        <w:t>acquiring</w:t>
      </w:r>
      <w:r w:rsidRPr="00FF57FD">
        <w:rPr>
          <w:rFonts w:ascii="Times New Roman" w:hAnsi="Times New Roman" w:cs="Times New Roman"/>
        </w:rPr>
        <w:t xml:space="preserve"> genetic information.  Moreover, it prohibits an employer from even requesting such information.  Don’t ask!  </w:t>
      </w:r>
    </w:p>
    <w:p w14:paraId="14BD0B6D" w14:textId="77777777" w:rsidR="00FF57FD" w:rsidRPr="00FF57FD" w:rsidRDefault="00FF57FD" w:rsidP="00FF57FD">
      <w:pPr>
        <w:spacing w:after="0" w:line="240" w:lineRule="auto"/>
        <w:ind w:firstLine="720"/>
        <w:rPr>
          <w:rFonts w:ascii="Times New Roman" w:hAnsi="Times New Roman" w:cs="Times New Roman"/>
        </w:rPr>
      </w:pPr>
      <w:r w:rsidRPr="00FF57FD">
        <w:rPr>
          <w:rFonts w:ascii="Times New Roman" w:hAnsi="Times New Roman" w:cs="Times New Roman"/>
        </w:rPr>
        <w:t>Specifically prohibited in the regulations are “conducting and Internet search on an individual in a way that is likely to result in [an employer] obtaining genetic information” and “making requests for information about an individual’s current health status in a way that is likely to result in [an employer] obtaining genetic information.”</w:t>
      </w:r>
    </w:p>
    <w:p w14:paraId="336C12CA" w14:textId="77777777" w:rsidR="00FF57FD" w:rsidRPr="00FF57FD" w:rsidRDefault="00FF57FD" w:rsidP="00FF57FD">
      <w:pPr>
        <w:spacing w:after="0" w:line="240" w:lineRule="auto"/>
        <w:rPr>
          <w:rFonts w:ascii="Times New Roman" w:hAnsi="Times New Roman" w:cs="Times New Roman"/>
        </w:rPr>
      </w:pPr>
    </w:p>
    <w:p w14:paraId="5419A014"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Don’t ask!</w:t>
      </w:r>
    </w:p>
    <w:p w14:paraId="761F1127" w14:textId="77777777" w:rsidR="00FF57FD" w:rsidRPr="00FF57FD" w:rsidRDefault="00FF57FD" w:rsidP="00FF57FD">
      <w:pPr>
        <w:spacing w:after="0" w:line="240" w:lineRule="auto"/>
        <w:rPr>
          <w:rFonts w:ascii="Times New Roman" w:hAnsi="Times New Roman" w:cs="Times New Roman"/>
        </w:rPr>
      </w:pPr>
    </w:p>
    <w:p w14:paraId="20E208F8"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So how is an employer likely to get into trouble?  There are four chief ways.</w:t>
      </w:r>
    </w:p>
    <w:p w14:paraId="1A7ED90E" w14:textId="77777777" w:rsidR="00FF57FD" w:rsidRPr="00FF57FD" w:rsidRDefault="00FF57FD" w:rsidP="00FF57FD">
      <w:pPr>
        <w:spacing w:after="0" w:line="240" w:lineRule="auto"/>
        <w:rPr>
          <w:rFonts w:ascii="Times New Roman" w:hAnsi="Times New Roman" w:cs="Times New Roman"/>
        </w:rPr>
      </w:pPr>
    </w:p>
    <w:p w14:paraId="0F59A217"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The first is in conducting medical examinations of individuals who have received conditional offers of employment.  Under the ADA employers are prohibited from making inquiries about medical conditions during the hiring process, except that once an applicant is selected for employment, that person can be required to submit to a medical examination, as long as the employer requires that process of all employees in the same job category.  Under the ADA, the employer has been entitled to make wide-ranging medical inquiries.  Now with GINA, however, the employer may not inquire about genetic information, including family medical history.  The employer must tell the health care providers who are conducting the medical examinations not to make genetic inquiries.</w:t>
      </w:r>
    </w:p>
    <w:p w14:paraId="7CAC0213" w14:textId="77777777" w:rsidR="00FF57FD" w:rsidRPr="00FF57FD" w:rsidRDefault="00FF57FD" w:rsidP="00FF57FD">
      <w:pPr>
        <w:spacing w:after="0" w:line="240" w:lineRule="auto"/>
        <w:rPr>
          <w:rFonts w:ascii="Times New Roman" w:hAnsi="Times New Roman" w:cs="Times New Roman"/>
        </w:rPr>
      </w:pPr>
    </w:p>
    <w:p w14:paraId="6DD89C2B"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The second is in conducting fitness-for-duty examinations.  The ADA permits medical inquiries when there is reason to believe that an employee is no longer able to perform the duties of the job or poses a direct threat to the health and safety of others.  Once again, health care providers must be told not to provide genetic information in their responses to the employer.</w:t>
      </w:r>
    </w:p>
    <w:p w14:paraId="29EC14D5" w14:textId="77777777" w:rsidR="00FF57FD" w:rsidRPr="00FF57FD" w:rsidRDefault="00FF57FD" w:rsidP="00FF57FD">
      <w:pPr>
        <w:spacing w:after="0" w:line="240" w:lineRule="auto"/>
        <w:rPr>
          <w:rFonts w:ascii="Times New Roman" w:hAnsi="Times New Roman" w:cs="Times New Roman"/>
        </w:rPr>
      </w:pPr>
    </w:p>
    <w:p w14:paraId="60E808EB"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lastRenderedPageBreak/>
        <w:tab/>
        <w:t>The third is when an employer seeks health information in support of an employee’s request for leave under the Family and Medical Leave Act.  If the employee’s request relates to his or her own medical condition, then the same restrictions apply:  the employer must take care not to acquire genetic information, including family medical history.  But if the employee’s request relates to time off to care for the medical condition of a family member, then the employer may receive the relevant medical information regarding that family member.</w:t>
      </w:r>
    </w:p>
    <w:p w14:paraId="40AAFB88" w14:textId="77777777" w:rsidR="00FF57FD" w:rsidRPr="00FF57FD" w:rsidRDefault="00FF57FD" w:rsidP="00FF57FD">
      <w:pPr>
        <w:spacing w:after="0" w:line="240" w:lineRule="auto"/>
        <w:rPr>
          <w:rFonts w:ascii="Times New Roman" w:hAnsi="Times New Roman" w:cs="Times New Roman"/>
        </w:rPr>
      </w:pPr>
    </w:p>
    <w:p w14:paraId="7A807A47"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And last, an employer may learn genetic information—usually in the form of family medical history—inadvertently.  The boss is friends with the employee on Facebook and the employee discusses a family member’s medical condition there.  An employee sends an email around to everyone, including the manager, with news about her father’s medical condition.  Or, as in the example at the start of this blog, a supervisor overhears two employees talking about the family medical history of one of them.</w:t>
      </w:r>
    </w:p>
    <w:p w14:paraId="2DDFE8E2" w14:textId="77777777" w:rsidR="00FF57FD" w:rsidRPr="00FF57FD" w:rsidRDefault="00FF57FD" w:rsidP="00FF57FD">
      <w:pPr>
        <w:spacing w:after="0" w:line="240" w:lineRule="auto"/>
        <w:rPr>
          <w:rFonts w:ascii="Times New Roman" w:hAnsi="Times New Roman" w:cs="Times New Roman"/>
        </w:rPr>
      </w:pPr>
    </w:p>
    <w:p w14:paraId="01F5FFF2"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In these inadvertent cases, the regulations under GINA make clear that while the initial acquisition of the family medical information (in response, say, to a question like, “How’s your son feeling today?”) may be no violation, the supervisor must be on guard not to follow up.  The initial inadvertent acquisition is OK; the follow up is not.  The regulations say that the inadvertence exception does not apply to follow up questions “that are probing in nature, such as whether other family members have the condition, or whether the individual has been tested for the condition,” because the employer “should know that these questions are likely to result in the acquisition of genetic information.”</w:t>
      </w:r>
    </w:p>
    <w:p w14:paraId="55689239" w14:textId="77777777" w:rsidR="00FF57FD" w:rsidRPr="00FF57FD" w:rsidRDefault="00FF57FD" w:rsidP="00FF57FD">
      <w:pPr>
        <w:spacing w:after="0" w:line="240" w:lineRule="auto"/>
        <w:rPr>
          <w:rFonts w:ascii="Times New Roman" w:hAnsi="Times New Roman" w:cs="Times New Roman"/>
        </w:rPr>
      </w:pPr>
    </w:p>
    <w:p w14:paraId="27BE6E1A" w14:textId="77777777" w:rsidR="00FF57FD" w:rsidRPr="00FF57FD" w:rsidRDefault="00FF57FD" w:rsidP="00FF57FD">
      <w:pPr>
        <w:spacing w:after="0" w:line="240" w:lineRule="auto"/>
        <w:rPr>
          <w:rFonts w:ascii="Times New Roman" w:hAnsi="Times New Roman" w:cs="Times New Roman"/>
        </w:rPr>
      </w:pPr>
    </w:p>
    <w:p w14:paraId="4F929A4F" w14:textId="77777777" w:rsidR="00FF57FD" w:rsidRPr="00FF57FD" w:rsidRDefault="00FF57FD" w:rsidP="00FF57FD">
      <w:pPr>
        <w:spacing w:after="0" w:line="240" w:lineRule="auto"/>
        <w:jc w:val="center"/>
        <w:rPr>
          <w:rFonts w:ascii="Times New Roman" w:hAnsi="Times New Roman" w:cs="Times New Roman"/>
          <w:b/>
        </w:rPr>
      </w:pPr>
      <w:r w:rsidRPr="00FF57FD">
        <w:rPr>
          <w:rFonts w:ascii="Times New Roman" w:hAnsi="Times New Roman" w:cs="Times New Roman"/>
          <w:b/>
        </w:rPr>
        <w:t>Uniformed Services Employment and Reemployment Rights Act</w:t>
      </w:r>
    </w:p>
    <w:p w14:paraId="4636B1C0" w14:textId="77777777" w:rsidR="00FF57FD" w:rsidRPr="00FF57FD" w:rsidRDefault="00FF57FD" w:rsidP="00FF57FD">
      <w:pPr>
        <w:spacing w:after="0" w:line="240" w:lineRule="auto"/>
        <w:rPr>
          <w:rFonts w:ascii="Times New Roman" w:hAnsi="Times New Roman" w:cs="Times New Roman"/>
        </w:rPr>
      </w:pPr>
    </w:p>
    <w:p w14:paraId="3B4DDF8D"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The Uniformed Services Employment and Reemployment Rights Act has two major purposes:</w:t>
      </w:r>
    </w:p>
    <w:p w14:paraId="35860508" w14:textId="77777777" w:rsidR="00FF57FD" w:rsidRPr="00FF57FD" w:rsidRDefault="00FF57FD" w:rsidP="00FF57FD">
      <w:pPr>
        <w:spacing w:after="0" w:line="240" w:lineRule="auto"/>
        <w:rPr>
          <w:rFonts w:ascii="Times New Roman" w:hAnsi="Times New Roman" w:cs="Times New Roman"/>
        </w:rPr>
      </w:pPr>
    </w:p>
    <w:p w14:paraId="717BD174" w14:textId="77777777" w:rsidR="00FF57FD" w:rsidRPr="00FF57FD" w:rsidRDefault="00FF57FD" w:rsidP="00FF57FD">
      <w:pPr>
        <w:numPr>
          <w:ilvl w:val="0"/>
          <w:numId w:val="3"/>
        </w:numPr>
        <w:spacing w:after="0" w:line="240" w:lineRule="auto"/>
        <w:rPr>
          <w:rFonts w:ascii="Times New Roman" w:hAnsi="Times New Roman" w:cs="Times New Roman"/>
        </w:rPr>
      </w:pPr>
      <w:r w:rsidRPr="00FF57FD">
        <w:rPr>
          <w:rFonts w:ascii="Times New Roman" w:hAnsi="Times New Roman" w:cs="Times New Roman"/>
        </w:rPr>
        <w:t>to allow Americans to serve in the United States armed forces with minimum disruption to their civilian careers, and</w:t>
      </w:r>
    </w:p>
    <w:p w14:paraId="361F4F45" w14:textId="77777777" w:rsidR="00FF57FD" w:rsidRPr="00FF57FD" w:rsidRDefault="00FF57FD" w:rsidP="00FF57FD">
      <w:pPr>
        <w:numPr>
          <w:ilvl w:val="0"/>
          <w:numId w:val="3"/>
        </w:numPr>
        <w:spacing w:after="0" w:line="240" w:lineRule="auto"/>
        <w:rPr>
          <w:rFonts w:ascii="Times New Roman" w:hAnsi="Times New Roman" w:cs="Times New Roman"/>
        </w:rPr>
      </w:pPr>
      <w:r w:rsidRPr="00FF57FD">
        <w:rPr>
          <w:rFonts w:ascii="Times New Roman" w:hAnsi="Times New Roman" w:cs="Times New Roman"/>
        </w:rPr>
        <w:t>to prohibit discrimination against those who have served in the uniformed services</w:t>
      </w:r>
    </w:p>
    <w:p w14:paraId="6A30D4EB" w14:textId="77777777" w:rsidR="00FF57FD" w:rsidRPr="00FF57FD" w:rsidRDefault="00FF57FD" w:rsidP="00FF57FD">
      <w:pPr>
        <w:spacing w:after="0" w:line="240" w:lineRule="auto"/>
        <w:rPr>
          <w:rFonts w:ascii="Times New Roman" w:hAnsi="Times New Roman" w:cs="Times New Roman"/>
        </w:rPr>
      </w:pPr>
    </w:p>
    <w:p w14:paraId="6E6526D1"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USERRA prohibits discrimination of any kind in employment against someone who is or will be performing, has performed, or intends to perform military service.</w:t>
      </w:r>
      <w:r w:rsidRPr="00FF57FD">
        <w:rPr>
          <w:rStyle w:val="FootnoteReference"/>
          <w:rFonts w:ascii="Times New Roman" w:hAnsi="Times New Roman" w:cs="Times New Roman"/>
        </w:rPr>
        <w:footnoteReference w:id="21"/>
      </w:r>
      <w:r w:rsidRPr="00FF57FD">
        <w:rPr>
          <w:rFonts w:ascii="Times New Roman" w:hAnsi="Times New Roman" w:cs="Times New Roman"/>
        </w:rPr>
        <w:t xml:space="preserve">  Thus, a person’s initial employment application cannot be rejected on the ground that he or she is a member of the military reserves and is therefore likely to be absent when called up for duty.</w:t>
      </w:r>
    </w:p>
    <w:p w14:paraId="398F0BE6" w14:textId="77777777" w:rsidR="00FF57FD" w:rsidRPr="00FF57FD" w:rsidRDefault="00FF57FD" w:rsidP="00FF57FD">
      <w:pPr>
        <w:spacing w:after="0" w:line="240" w:lineRule="auto"/>
        <w:rPr>
          <w:rFonts w:ascii="Times New Roman" w:hAnsi="Times New Roman" w:cs="Times New Roman"/>
        </w:rPr>
      </w:pPr>
    </w:p>
    <w:p w14:paraId="3FC846A7"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Similarly, an employee cannot be denied consideration for a newly available promotion simply because he is not present to apply for it.</w:t>
      </w:r>
      <w:r w:rsidRPr="00FF57FD">
        <w:rPr>
          <w:rStyle w:val="FootnoteReference"/>
          <w:rFonts w:ascii="Times New Roman" w:hAnsi="Times New Roman" w:cs="Times New Roman"/>
        </w:rPr>
        <w:footnoteReference w:id="22"/>
      </w:r>
      <w:r w:rsidRPr="00FF57FD">
        <w:rPr>
          <w:rFonts w:ascii="Times New Roman" w:hAnsi="Times New Roman" w:cs="Times New Roman"/>
        </w:rPr>
        <w:t xml:space="preserve">  </w:t>
      </w:r>
    </w:p>
    <w:p w14:paraId="014B552E" w14:textId="77777777" w:rsidR="00FF57FD" w:rsidRPr="00FF57FD" w:rsidRDefault="00FF57FD" w:rsidP="00FF57FD">
      <w:pPr>
        <w:spacing w:after="0" w:line="240" w:lineRule="auto"/>
        <w:rPr>
          <w:rFonts w:ascii="Times New Roman" w:hAnsi="Times New Roman" w:cs="Times New Roman"/>
        </w:rPr>
      </w:pPr>
    </w:p>
    <w:p w14:paraId="420F7763"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lastRenderedPageBreak/>
        <w:tab/>
        <w:t>USERRA applies to any employee serving in the United States Army, Navy, Air Force, Marine Corps, and Coast Guard, as well as in the Army National Guard and the Air National Guard, the commissioned corps of the Public Health Service, and to “any other category of persons designated by the President in time of war or national emergency.”</w:t>
      </w:r>
      <w:r w:rsidRPr="00FF57FD">
        <w:rPr>
          <w:rStyle w:val="FootnoteReference"/>
          <w:rFonts w:ascii="Times New Roman" w:hAnsi="Times New Roman" w:cs="Times New Roman"/>
        </w:rPr>
        <w:footnoteReference w:id="23"/>
      </w:r>
      <w:r w:rsidRPr="00FF57FD">
        <w:rPr>
          <w:rFonts w:ascii="Times New Roman" w:hAnsi="Times New Roman" w:cs="Times New Roman"/>
        </w:rPr>
        <w:t xml:space="preserve">  .</w:t>
      </w:r>
    </w:p>
    <w:p w14:paraId="6663FB36" w14:textId="77777777" w:rsidR="00FF57FD" w:rsidRPr="00FF57FD" w:rsidRDefault="00FF57FD" w:rsidP="00FF57FD">
      <w:pPr>
        <w:spacing w:after="0" w:line="240" w:lineRule="auto"/>
        <w:rPr>
          <w:rFonts w:ascii="Times New Roman" w:hAnsi="Times New Roman" w:cs="Times New Roman"/>
        </w:rPr>
      </w:pPr>
    </w:p>
    <w:p w14:paraId="24A941A7"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 xml:space="preserve">A poster approved by the Department of Labor may be downloaded from </w:t>
      </w:r>
      <w:hyperlink r:id="rId16" w:history="1">
        <w:r w:rsidRPr="00FF57FD">
          <w:rPr>
            <w:rStyle w:val="Hyperlink"/>
            <w:rFonts w:ascii="Times New Roman" w:hAnsi="Times New Roman" w:cs="Times New Roman"/>
          </w:rPr>
          <w:t>http://www.dol.gov/vets/programs/userra/USERRA_Private.pdf</w:t>
        </w:r>
      </w:hyperlink>
    </w:p>
    <w:p w14:paraId="0C4860E3" w14:textId="77777777" w:rsidR="00FF57FD" w:rsidRPr="00FF57FD" w:rsidRDefault="00FF57FD" w:rsidP="00FF57FD">
      <w:pPr>
        <w:spacing w:after="0" w:line="240" w:lineRule="auto"/>
        <w:rPr>
          <w:rFonts w:ascii="Times New Roman" w:hAnsi="Times New Roman" w:cs="Times New Roman"/>
        </w:rPr>
      </w:pPr>
    </w:p>
    <w:p w14:paraId="4FB9A74D" w14:textId="77777777" w:rsidR="00FF57FD" w:rsidRPr="00FF57FD" w:rsidRDefault="00FF57FD" w:rsidP="00FF57FD">
      <w:pPr>
        <w:spacing w:after="0" w:line="240" w:lineRule="auto"/>
        <w:rPr>
          <w:rFonts w:ascii="Times New Roman" w:hAnsi="Times New Roman" w:cs="Times New Roman"/>
        </w:rPr>
      </w:pPr>
      <w:r w:rsidRPr="00FF57FD">
        <w:rPr>
          <w:rFonts w:ascii="Times New Roman" w:hAnsi="Times New Roman" w:cs="Times New Roman"/>
        </w:rPr>
        <w:tab/>
        <w:t>North Carolina General Statutes 127B-10 through -15 also prohibit discrimination based on military status.  The state’s Administrative Code (in 25 NCAC 1E.0809) and State Board of Community Colleges Code (in 1C SBCCC 400.97) provide that state employees and community college employees respectively on military leave are to receive any promotions for which they are otherwise eligible.</w:t>
      </w:r>
    </w:p>
    <w:p w14:paraId="20540FB7" w14:textId="77777777" w:rsidR="00FF57FD" w:rsidRDefault="00FF57FD" w:rsidP="00FF57FD"/>
    <w:p w14:paraId="53EB91AE" w14:textId="77777777" w:rsidR="00FF57FD" w:rsidRDefault="00FF57FD" w:rsidP="00FF57FD"/>
    <w:p w14:paraId="7FE19821" w14:textId="77777777" w:rsidR="00FF57FD" w:rsidRDefault="00FF57FD">
      <w:pPr>
        <w:rPr>
          <w:rFonts w:ascii="Times New Roman" w:hAnsi="Times New Roman" w:cs="Times New Roman"/>
        </w:rPr>
      </w:pPr>
    </w:p>
    <w:p w14:paraId="7109211F" w14:textId="77777777" w:rsidR="009675B9" w:rsidRDefault="009675B9">
      <w:pPr>
        <w:rPr>
          <w:rFonts w:ascii="Times New Roman" w:hAnsi="Times New Roman" w:cs="Times New Roman"/>
        </w:rPr>
      </w:pPr>
    </w:p>
    <w:p w14:paraId="29C195AC" w14:textId="5969BE34" w:rsidR="00FF57FD" w:rsidRDefault="00FF57FD">
      <w:pPr>
        <w:rPr>
          <w:rFonts w:ascii="Times New Roman" w:hAnsi="Times New Roman" w:cs="Times New Roman"/>
        </w:rPr>
      </w:pPr>
      <w:r>
        <w:rPr>
          <w:rFonts w:ascii="Times New Roman" w:hAnsi="Times New Roman" w:cs="Times New Roman"/>
        </w:rPr>
        <w:br w:type="page"/>
      </w:r>
    </w:p>
    <w:p w14:paraId="0D260CB4" w14:textId="77777777" w:rsidR="009675B9" w:rsidRPr="00FF57FD" w:rsidRDefault="009675B9" w:rsidP="009675B9">
      <w:pPr>
        <w:spacing w:after="0" w:line="240" w:lineRule="auto"/>
        <w:jc w:val="center"/>
        <w:rPr>
          <w:rFonts w:ascii="Times New Roman" w:hAnsi="Times New Roman" w:cs="Times New Roman"/>
          <w:b/>
          <w:bCs/>
          <w:sz w:val="44"/>
          <w:szCs w:val="44"/>
        </w:rPr>
      </w:pPr>
      <w:r w:rsidRPr="00FF57FD">
        <w:rPr>
          <w:rFonts w:ascii="Times New Roman" w:hAnsi="Times New Roman" w:cs="Times New Roman"/>
          <w:b/>
          <w:bCs/>
          <w:sz w:val="44"/>
          <w:szCs w:val="44"/>
        </w:rPr>
        <w:lastRenderedPageBreak/>
        <w:t xml:space="preserve">The Fourteenth Amendment and </w:t>
      </w:r>
    </w:p>
    <w:p w14:paraId="07C21B14" w14:textId="77777777" w:rsidR="009675B9" w:rsidRPr="00FF57FD" w:rsidRDefault="009675B9" w:rsidP="009675B9">
      <w:pPr>
        <w:spacing w:after="0" w:line="240" w:lineRule="auto"/>
        <w:jc w:val="center"/>
        <w:rPr>
          <w:rFonts w:ascii="Times New Roman" w:hAnsi="Times New Roman" w:cs="Times New Roman"/>
          <w:b/>
          <w:bCs/>
          <w:sz w:val="44"/>
          <w:szCs w:val="44"/>
        </w:rPr>
      </w:pPr>
      <w:r w:rsidRPr="00FF57FD">
        <w:rPr>
          <w:rFonts w:ascii="Times New Roman" w:hAnsi="Times New Roman" w:cs="Times New Roman"/>
          <w:b/>
          <w:bCs/>
          <w:sz w:val="44"/>
          <w:szCs w:val="44"/>
        </w:rPr>
        <w:t>Property Rights in Employment</w:t>
      </w:r>
    </w:p>
    <w:p w14:paraId="3C957EE5" w14:textId="77777777" w:rsidR="009675B9" w:rsidRPr="00FF57FD" w:rsidRDefault="009675B9" w:rsidP="009675B9">
      <w:pPr>
        <w:spacing w:after="0" w:line="240" w:lineRule="auto"/>
        <w:rPr>
          <w:rFonts w:ascii="Times New Roman" w:hAnsi="Times New Roman" w:cs="Times New Roman"/>
          <w:b/>
          <w:bCs/>
        </w:rPr>
      </w:pPr>
    </w:p>
    <w:p w14:paraId="4E31EC9C" w14:textId="77777777" w:rsidR="009675B9" w:rsidRPr="009675B9" w:rsidRDefault="009675B9" w:rsidP="009675B9">
      <w:pPr>
        <w:spacing w:after="0" w:line="240" w:lineRule="auto"/>
        <w:rPr>
          <w:rFonts w:ascii="Times New Roman" w:hAnsi="Times New Roman" w:cs="Times New Roman"/>
          <w:sz w:val="28"/>
          <w:szCs w:val="28"/>
        </w:rPr>
      </w:pPr>
    </w:p>
    <w:p w14:paraId="6C4EF935" w14:textId="77777777" w:rsidR="009675B9" w:rsidRPr="009675B9" w:rsidRDefault="009675B9" w:rsidP="009675B9">
      <w:pPr>
        <w:spacing w:after="0" w:line="240" w:lineRule="auto"/>
        <w:rPr>
          <w:rFonts w:ascii="Times New Roman" w:hAnsi="Times New Roman" w:cs="Times New Roman"/>
          <w:sz w:val="28"/>
          <w:szCs w:val="28"/>
        </w:rPr>
      </w:pPr>
    </w:p>
    <w:p w14:paraId="2CBB4C9C" w14:textId="77777777" w:rsidR="009675B9" w:rsidRPr="009675B9" w:rsidRDefault="009675B9" w:rsidP="009675B9">
      <w:pPr>
        <w:spacing w:after="0" w:line="240" w:lineRule="auto"/>
        <w:rPr>
          <w:rFonts w:ascii="Times New Roman" w:hAnsi="Times New Roman" w:cs="Times New Roman"/>
          <w:sz w:val="28"/>
          <w:szCs w:val="28"/>
        </w:rPr>
      </w:pPr>
    </w:p>
    <w:p w14:paraId="2876B4F2"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ab/>
        <w:t>For some employees of the government, their jobs are their property.  For the government to fire such an employee is to deprive that person of property.  That deprivation of property must be accompanied by due process.  At-will government employees are not in this group, but beginning in the second half of the twentieth century, many government units took some of their employee out of at-will status and put them into another status—the status of protected property interest.</w:t>
      </w:r>
    </w:p>
    <w:p w14:paraId="6D086B32" w14:textId="77777777" w:rsidR="009675B9" w:rsidRPr="009675B9" w:rsidRDefault="009675B9" w:rsidP="009675B9">
      <w:pPr>
        <w:spacing w:after="0" w:line="240" w:lineRule="auto"/>
        <w:rPr>
          <w:rFonts w:ascii="Times New Roman" w:hAnsi="Times New Roman" w:cs="Times New Roman"/>
        </w:rPr>
      </w:pPr>
    </w:p>
    <w:p w14:paraId="770561B6"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ab/>
        <w:t xml:space="preserve">That movement picked up steam in the 1970s, and the law developed with it.  </w:t>
      </w:r>
    </w:p>
    <w:p w14:paraId="24826965" w14:textId="77777777" w:rsidR="009675B9" w:rsidRPr="009675B9" w:rsidRDefault="009675B9" w:rsidP="009675B9">
      <w:pPr>
        <w:spacing w:after="0" w:line="240" w:lineRule="auto"/>
        <w:rPr>
          <w:rFonts w:ascii="Times New Roman" w:hAnsi="Times New Roman" w:cs="Times New Roman"/>
        </w:rPr>
      </w:pPr>
    </w:p>
    <w:p w14:paraId="3A121F49"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ab/>
        <w:t>The Fourteenth Amendment to the United States Constitution says that the government may not “deprive any person of life, liberty, or property, without due process of law.”  What is deprivation of “property”?</w:t>
      </w:r>
    </w:p>
    <w:p w14:paraId="6446F3F5" w14:textId="77777777" w:rsidR="009675B9" w:rsidRPr="009675B9" w:rsidRDefault="009675B9" w:rsidP="009675B9">
      <w:pPr>
        <w:spacing w:after="0" w:line="240" w:lineRule="auto"/>
        <w:rPr>
          <w:rFonts w:ascii="Times New Roman" w:hAnsi="Times New Roman" w:cs="Times New Roman"/>
        </w:rPr>
      </w:pPr>
    </w:p>
    <w:p w14:paraId="1109DFF0"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ab/>
        <w:t xml:space="preserve">People readily understand that a citizen may not be deprived of property without due process when the matter arises in certain situations.  For instance, it makes sense to us that elaborate condemnation proceedings, constituting due process, are required when a citizen’s front yard—his or her property—is being taken in order to create a city park or a state road.  But real estate is not the only kind of property citizens have, and condemnation is not the only kind of deprivation.  As the U.S. Supreme Court said in 1972 in </w:t>
      </w:r>
      <w:r w:rsidRPr="009675B9">
        <w:rPr>
          <w:rFonts w:ascii="Times New Roman" w:hAnsi="Times New Roman" w:cs="Times New Roman"/>
          <w:i/>
        </w:rPr>
        <w:t>Board of Regents v. Roth</w:t>
      </w:r>
      <w:r w:rsidRPr="009675B9">
        <w:rPr>
          <w:rFonts w:ascii="Times New Roman" w:hAnsi="Times New Roman" w:cs="Times New Roman"/>
        </w:rPr>
        <w:t>:</w:t>
      </w:r>
    </w:p>
    <w:p w14:paraId="42E0BD2C" w14:textId="77777777" w:rsidR="009675B9" w:rsidRPr="009675B9" w:rsidRDefault="009675B9" w:rsidP="009675B9">
      <w:pPr>
        <w:spacing w:after="0" w:line="240" w:lineRule="auto"/>
        <w:rPr>
          <w:rFonts w:ascii="Times New Roman" w:hAnsi="Times New Roman" w:cs="Times New Roman"/>
        </w:rPr>
      </w:pPr>
    </w:p>
    <w:p w14:paraId="42C629A9" w14:textId="77777777" w:rsidR="009675B9" w:rsidRPr="009675B9" w:rsidRDefault="009675B9" w:rsidP="009675B9">
      <w:pPr>
        <w:spacing w:after="0" w:line="240" w:lineRule="auto"/>
        <w:ind w:left="1440"/>
        <w:rPr>
          <w:rFonts w:ascii="Times New Roman" w:hAnsi="Times New Roman" w:cs="Times New Roman"/>
        </w:rPr>
      </w:pPr>
      <w:r w:rsidRPr="009675B9">
        <w:rPr>
          <w:rFonts w:ascii="Times New Roman" w:hAnsi="Times New Roman" w:cs="Times New Roman"/>
        </w:rPr>
        <w:t>“[T]he property interests protected by procedural due process extend well beyond actual ownership of real estate, chattels, or money. . . . The Fourteenth Amendment’s procedure protection of property is a safeguard of the security of interests that a person has already acquired in specific benefits.  These benefits—property interests—take many forms.”</w:t>
      </w:r>
      <w:r w:rsidRPr="009675B9">
        <w:rPr>
          <w:rStyle w:val="FootnoteReference"/>
          <w:rFonts w:ascii="Times New Roman" w:hAnsi="Times New Roman" w:cs="Times New Roman"/>
        </w:rPr>
        <w:footnoteReference w:id="24"/>
      </w:r>
    </w:p>
    <w:p w14:paraId="473908B8" w14:textId="77777777" w:rsidR="009675B9" w:rsidRPr="009675B9" w:rsidRDefault="009675B9" w:rsidP="009675B9">
      <w:pPr>
        <w:spacing w:after="0" w:line="240" w:lineRule="auto"/>
        <w:rPr>
          <w:rFonts w:ascii="Times New Roman" w:hAnsi="Times New Roman" w:cs="Times New Roman"/>
        </w:rPr>
      </w:pPr>
    </w:p>
    <w:p w14:paraId="721049E4"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One of these “interests that a person has already acquired,” the Court said, can be a property interest in continued public employment.  But, “[t]o have a property interest in a benefit, a person clearly must have more than an abstract need or desire for it.  He must, instead, have a legitimate claim of entitlement to it.”</w:t>
      </w:r>
    </w:p>
    <w:p w14:paraId="75EFA1DE" w14:textId="77777777" w:rsidR="009675B9" w:rsidRPr="009675B9" w:rsidRDefault="009675B9" w:rsidP="009675B9">
      <w:pPr>
        <w:spacing w:after="0" w:line="240" w:lineRule="auto"/>
        <w:rPr>
          <w:rFonts w:ascii="Times New Roman" w:hAnsi="Times New Roman" w:cs="Times New Roman"/>
        </w:rPr>
      </w:pPr>
    </w:p>
    <w:p w14:paraId="0521AD2D" w14:textId="77777777" w:rsidR="009675B9" w:rsidRPr="009675B9" w:rsidRDefault="009675B9" w:rsidP="009675B9">
      <w:pPr>
        <w:spacing w:after="0" w:line="240" w:lineRule="auto"/>
        <w:rPr>
          <w:rFonts w:ascii="Times New Roman" w:hAnsi="Times New Roman" w:cs="Times New Roman"/>
          <w:i/>
        </w:rPr>
      </w:pPr>
      <w:r w:rsidRPr="009675B9">
        <w:rPr>
          <w:rFonts w:ascii="Times New Roman" w:hAnsi="Times New Roman" w:cs="Times New Roman"/>
          <w:i/>
        </w:rPr>
        <w:t>Creation of the property interest</w:t>
      </w:r>
    </w:p>
    <w:p w14:paraId="77FD3DA2" w14:textId="77777777" w:rsidR="009675B9" w:rsidRPr="009675B9" w:rsidRDefault="009675B9" w:rsidP="009675B9">
      <w:pPr>
        <w:spacing w:after="0" w:line="240" w:lineRule="auto"/>
        <w:rPr>
          <w:rFonts w:ascii="Times New Roman" w:hAnsi="Times New Roman" w:cs="Times New Roman"/>
        </w:rPr>
      </w:pPr>
    </w:p>
    <w:p w14:paraId="49326916"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ab/>
        <w:t>So where does an employee of a unit of government in North Carolina acquire “a legitimate claim of entitlement” to his job sufficient to move him or her from at-will status to job-protected property interest status?</w:t>
      </w:r>
    </w:p>
    <w:p w14:paraId="2DF646F0" w14:textId="77777777" w:rsidR="009675B9" w:rsidRPr="009675B9" w:rsidRDefault="009675B9" w:rsidP="009675B9">
      <w:pPr>
        <w:spacing w:after="0" w:line="240" w:lineRule="auto"/>
        <w:rPr>
          <w:rFonts w:ascii="Times New Roman" w:hAnsi="Times New Roman" w:cs="Times New Roman"/>
        </w:rPr>
      </w:pPr>
    </w:p>
    <w:p w14:paraId="5C0C25C6"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ab/>
        <w:t>One of the big jumps in that direction happened in 1971 with the passage of the Teacher Tenure Act.</w:t>
      </w:r>
      <w:r w:rsidRPr="009675B9">
        <w:rPr>
          <w:rStyle w:val="FootnoteReference"/>
          <w:rFonts w:ascii="Times New Roman" w:hAnsi="Times New Roman" w:cs="Times New Roman"/>
        </w:rPr>
        <w:footnoteReference w:id="25"/>
      </w:r>
      <w:r w:rsidRPr="009675B9">
        <w:rPr>
          <w:rFonts w:ascii="Times New Roman" w:hAnsi="Times New Roman" w:cs="Times New Roman"/>
        </w:rPr>
        <w:t xml:space="preserve">  Before the adoption of that law, teachers in the public schools were employed on renewable contracts.  After the adoption of the law, a teacher who had completed a probationary period (at first three years, later four) would be awarded “tenure,” called career status in the statute.  By its terms, career status meant that a teacher could be dismissed only for one of 15 reasons set out in the statute—inadequate performance, neglect of duty, immorality, insubordination, and others.  Teachers were no long at-will employees, but were property-interest employees, entitled to due process in the deprivation of that property.</w:t>
      </w:r>
      <w:r w:rsidRPr="009675B9">
        <w:rPr>
          <w:rStyle w:val="FootnoteReference"/>
          <w:rFonts w:ascii="Times New Roman" w:hAnsi="Times New Roman" w:cs="Times New Roman"/>
        </w:rPr>
        <w:footnoteReference w:id="26"/>
      </w:r>
    </w:p>
    <w:p w14:paraId="59120CCC" w14:textId="77777777" w:rsidR="009675B9" w:rsidRPr="009675B9" w:rsidRDefault="009675B9" w:rsidP="009675B9">
      <w:pPr>
        <w:spacing w:after="0" w:line="240" w:lineRule="auto"/>
        <w:rPr>
          <w:rFonts w:ascii="Times New Roman" w:hAnsi="Times New Roman" w:cs="Times New Roman"/>
        </w:rPr>
      </w:pPr>
    </w:p>
    <w:p w14:paraId="2481CF38"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ab/>
        <w:t>A second big jump came in 1975.  The State Personnel Act (in more or less its current form) was enacted in 1965.  But, under the 1965 SPA, employees were employed at will.  In 1975, the General Assembly changed employees subject to the SPA from at-will status to property interest status by providing that once past a probationary period (the duration of which has changed many times over the years) a subject employee could be dismissed only for “just cause.”  That gave SPA employees a property interest in employment, and the entitlement to due process in dismissal.</w:t>
      </w:r>
    </w:p>
    <w:p w14:paraId="22F75A68" w14:textId="77777777" w:rsidR="009675B9" w:rsidRPr="009675B9" w:rsidRDefault="009675B9" w:rsidP="009675B9">
      <w:pPr>
        <w:spacing w:after="0" w:line="240" w:lineRule="auto"/>
        <w:rPr>
          <w:rFonts w:ascii="Times New Roman" w:hAnsi="Times New Roman" w:cs="Times New Roman"/>
        </w:rPr>
      </w:pPr>
    </w:p>
    <w:p w14:paraId="06541111"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ab/>
        <w:t xml:space="preserve">Many cities and counties adopted similar “just cause” or “good cause” protection for their employees, once the employees passed through a probationary period.  Some did it one way, and some did it another, and it turned out that the North Carolina courts saw a big difference. </w:t>
      </w:r>
    </w:p>
    <w:p w14:paraId="621F5F03" w14:textId="77777777" w:rsidR="009675B9" w:rsidRPr="009675B9" w:rsidRDefault="009675B9" w:rsidP="009675B9">
      <w:pPr>
        <w:spacing w:after="0" w:line="240" w:lineRule="auto"/>
        <w:rPr>
          <w:rFonts w:ascii="Times New Roman" w:hAnsi="Times New Roman" w:cs="Times New Roman"/>
        </w:rPr>
      </w:pPr>
    </w:p>
    <w:p w14:paraId="688CEBE0"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ab/>
        <w:t xml:space="preserve">One way was by the inclusion of the protection in a personnel manual or handbook or by the passage of a resolution endorsing such a protection.  Was that sufficient to create a “legitimate claim of entitlement” to a job?  In 1990, in </w:t>
      </w:r>
      <w:r w:rsidRPr="009675B9">
        <w:rPr>
          <w:rFonts w:ascii="Times New Roman" w:hAnsi="Times New Roman" w:cs="Times New Roman"/>
          <w:i/>
        </w:rPr>
        <w:t>Kearney v. County of Durham</w:t>
      </w:r>
      <w:r w:rsidRPr="009675B9">
        <w:rPr>
          <w:rFonts w:ascii="Times New Roman" w:hAnsi="Times New Roman" w:cs="Times New Roman"/>
        </w:rPr>
        <w:t>, the North Carolina Court of Appeals said No:</w:t>
      </w:r>
    </w:p>
    <w:p w14:paraId="0141DEE6" w14:textId="77777777" w:rsidR="009675B9" w:rsidRPr="009675B9" w:rsidRDefault="009675B9" w:rsidP="009675B9">
      <w:pPr>
        <w:spacing w:after="0" w:line="240" w:lineRule="auto"/>
        <w:rPr>
          <w:rFonts w:ascii="Times New Roman" w:hAnsi="Times New Roman" w:cs="Times New Roman"/>
        </w:rPr>
      </w:pPr>
    </w:p>
    <w:p w14:paraId="5710CDF5" w14:textId="77777777" w:rsidR="009675B9" w:rsidRPr="009675B9" w:rsidRDefault="009675B9" w:rsidP="009675B9">
      <w:pPr>
        <w:spacing w:after="0" w:line="240" w:lineRule="auto"/>
        <w:ind w:left="1440"/>
        <w:rPr>
          <w:rFonts w:ascii="Times New Roman" w:hAnsi="Times New Roman" w:cs="Times New Roman"/>
        </w:rPr>
      </w:pPr>
      <w:r w:rsidRPr="009675B9">
        <w:rPr>
          <w:rFonts w:ascii="Times New Roman" w:hAnsi="Times New Roman" w:cs="Times New Roman"/>
        </w:rPr>
        <w:t>“A statute or ordinance may create a property interest in continued employment, thus providing an exception to the ‘employment at will’ rule.  There is no applicable statute or ordinance in this case.  Plaintiffs’ jobs were included in a manual adopted by resolution of the Durham County Board of Commissioners. . .  In the absence of evidence that this resolution was adopted with the same formality and characteristics of an ordinance, it is insufficient to create a property interest analogous to that of a statute or ordinance.”</w:t>
      </w:r>
      <w:r w:rsidRPr="009675B9">
        <w:rPr>
          <w:rStyle w:val="FootnoteReference"/>
          <w:rFonts w:ascii="Times New Roman" w:hAnsi="Times New Roman" w:cs="Times New Roman"/>
        </w:rPr>
        <w:footnoteReference w:id="27"/>
      </w:r>
    </w:p>
    <w:p w14:paraId="3ABA16E2" w14:textId="77777777" w:rsidR="009675B9" w:rsidRPr="009675B9" w:rsidRDefault="009675B9" w:rsidP="009675B9">
      <w:pPr>
        <w:spacing w:after="0" w:line="240" w:lineRule="auto"/>
        <w:rPr>
          <w:rFonts w:ascii="Times New Roman" w:hAnsi="Times New Roman" w:cs="Times New Roman"/>
        </w:rPr>
      </w:pPr>
    </w:p>
    <w:p w14:paraId="100CAA1B"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ab/>
        <w:t xml:space="preserve">The other way that cities or counties could adopt a property-status protection of employment for employees was through an actual personnel ordinance.  That is sufficient, the court of appeals ruled, two years after the Kearney decision, to create a “legitimate claim of entitlement” and thus a property interest.  </w:t>
      </w:r>
      <w:r w:rsidRPr="009675B9">
        <w:rPr>
          <w:rFonts w:ascii="Times New Roman" w:hAnsi="Times New Roman" w:cs="Times New Roman"/>
          <w:i/>
        </w:rPr>
        <w:t>Howell v. Town of Carolina Beach</w:t>
      </w:r>
      <w:r w:rsidRPr="009675B9">
        <w:rPr>
          <w:rFonts w:ascii="Times New Roman" w:hAnsi="Times New Roman" w:cs="Times New Roman"/>
        </w:rPr>
        <w:t>.</w:t>
      </w:r>
      <w:r w:rsidRPr="009675B9">
        <w:rPr>
          <w:rStyle w:val="FootnoteReference"/>
          <w:rFonts w:ascii="Times New Roman" w:hAnsi="Times New Roman" w:cs="Times New Roman"/>
        </w:rPr>
        <w:footnoteReference w:id="28"/>
      </w:r>
    </w:p>
    <w:p w14:paraId="50E684A8" w14:textId="77777777" w:rsidR="009675B9" w:rsidRPr="009675B9" w:rsidRDefault="009675B9" w:rsidP="009675B9">
      <w:pPr>
        <w:spacing w:after="0" w:line="240" w:lineRule="auto"/>
        <w:rPr>
          <w:rFonts w:ascii="Times New Roman" w:hAnsi="Times New Roman" w:cs="Times New Roman"/>
        </w:rPr>
      </w:pPr>
    </w:p>
    <w:p w14:paraId="367BF95F" w14:textId="77777777" w:rsidR="009675B9" w:rsidRPr="009675B9" w:rsidRDefault="009675B9" w:rsidP="009675B9">
      <w:pPr>
        <w:tabs>
          <w:tab w:val="left" w:pos="1296"/>
          <w:tab w:val="left" w:pos="2448"/>
          <w:tab w:val="left" w:pos="3600"/>
          <w:tab w:val="left" w:pos="4752"/>
          <w:tab w:val="left" w:pos="5904"/>
          <w:tab w:val="left" w:pos="7056"/>
          <w:tab w:val="left" w:pos="8208"/>
          <w:tab w:val="left" w:pos="9360"/>
          <w:tab w:val="left" w:pos="10512"/>
        </w:tabs>
        <w:suppressAutoHyphens/>
        <w:spacing w:after="0" w:line="240" w:lineRule="auto"/>
        <w:rPr>
          <w:rFonts w:ascii="Times New Roman" w:hAnsi="Times New Roman" w:cs="Times New Roman"/>
          <w:i/>
        </w:rPr>
      </w:pPr>
      <w:r w:rsidRPr="009675B9">
        <w:rPr>
          <w:rFonts w:ascii="Times New Roman" w:hAnsi="Times New Roman" w:cs="Times New Roman"/>
          <w:i/>
        </w:rPr>
        <w:lastRenderedPageBreak/>
        <w:t>At</w:t>
      </w:r>
      <w:r w:rsidRPr="009675B9">
        <w:rPr>
          <w:rFonts w:ascii="Times New Roman" w:hAnsi="Times New Roman" w:cs="Times New Roman"/>
          <w:i/>
        </w:rPr>
        <w:noBreakHyphen/>
        <w:t>will employees</w:t>
      </w:r>
    </w:p>
    <w:p w14:paraId="4D1A9145" w14:textId="77777777" w:rsidR="009675B9" w:rsidRPr="009675B9" w:rsidRDefault="009675B9" w:rsidP="009675B9">
      <w:pPr>
        <w:tabs>
          <w:tab w:val="left" w:pos="1296"/>
          <w:tab w:val="left" w:pos="2448"/>
          <w:tab w:val="left" w:pos="3600"/>
          <w:tab w:val="left" w:pos="4752"/>
          <w:tab w:val="left" w:pos="5904"/>
          <w:tab w:val="left" w:pos="7056"/>
          <w:tab w:val="left" w:pos="8208"/>
          <w:tab w:val="left" w:pos="9360"/>
          <w:tab w:val="left" w:pos="10512"/>
        </w:tabs>
        <w:suppressAutoHyphens/>
        <w:spacing w:after="0" w:line="240" w:lineRule="auto"/>
        <w:ind w:firstLine="720"/>
        <w:rPr>
          <w:rFonts w:ascii="Times New Roman" w:hAnsi="Times New Roman" w:cs="Times New Roman"/>
        </w:rPr>
      </w:pPr>
    </w:p>
    <w:p w14:paraId="0F43E327" w14:textId="77777777" w:rsidR="009675B9" w:rsidRPr="009675B9" w:rsidRDefault="009675B9" w:rsidP="009675B9">
      <w:pPr>
        <w:tabs>
          <w:tab w:val="left" w:pos="1296"/>
          <w:tab w:val="left" w:pos="2448"/>
          <w:tab w:val="left" w:pos="3600"/>
          <w:tab w:val="left" w:pos="4752"/>
          <w:tab w:val="left" w:pos="5904"/>
          <w:tab w:val="left" w:pos="7056"/>
          <w:tab w:val="left" w:pos="8208"/>
          <w:tab w:val="left" w:pos="9360"/>
          <w:tab w:val="left" w:pos="10512"/>
        </w:tabs>
        <w:suppressAutoHyphens/>
        <w:spacing w:after="0" w:line="240" w:lineRule="auto"/>
        <w:ind w:firstLine="720"/>
        <w:rPr>
          <w:rFonts w:ascii="Times New Roman" w:hAnsi="Times New Roman" w:cs="Times New Roman"/>
        </w:rPr>
      </w:pPr>
      <w:r w:rsidRPr="009675B9">
        <w:rPr>
          <w:rFonts w:ascii="Times New Roman" w:hAnsi="Times New Roman" w:cs="Times New Roman"/>
        </w:rPr>
        <w:t>At-will employees do not have property interests in their jobs. They are not entitled to due process if they are dismissed or otherwise adversely affected in their employment. Even at-will employees are entitled to pursue whatever grievance policy the governmental employer may have adopted, to the extent permitted by the policy, but only to that extent.</w:t>
      </w:r>
    </w:p>
    <w:p w14:paraId="3A6E15E7" w14:textId="77777777" w:rsidR="009675B9" w:rsidRPr="009675B9" w:rsidRDefault="009675B9" w:rsidP="009675B9">
      <w:pPr>
        <w:tabs>
          <w:tab w:val="left" w:pos="1296"/>
          <w:tab w:val="left" w:pos="2448"/>
          <w:tab w:val="left" w:pos="3600"/>
          <w:tab w:val="left" w:pos="4752"/>
          <w:tab w:val="left" w:pos="5904"/>
          <w:tab w:val="left" w:pos="7056"/>
          <w:tab w:val="left" w:pos="8208"/>
          <w:tab w:val="left" w:pos="9360"/>
          <w:tab w:val="left" w:pos="10512"/>
        </w:tabs>
        <w:suppressAutoHyphens/>
        <w:spacing w:after="0" w:line="240" w:lineRule="auto"/>
        <w:ind w:firstLine="720"/>
        <w:rPr>
          <w:rFonts w:ascii="Times New Roman" w:hAnsi="Times New Roman" w:cs="Times New Roman"/>
        </w:rPr>
      </w:pPr>
    </w:p>
    <w:p w14:paraId="2C4B0461" w14:textId="77777777" w:rsidR="009675B9" w:rsidRPr="009675B9" w:rsidRDefault="009675B9" w:rsidP="009675B9">
      <w:pPr>
        <w:tabs>
          <w:tab w:val="left" w:pos="1296"/>
          <w:tab w:val="left" w:pos="2448"/>
          <w:tab w:val="left" w:pos="3600"/>
          <w:tab w:val="left" w:pos="4752"/>
          <w:tab w:val="left" w:pos="5904"/>
          <w:tab w:val="left" w:pos="7056"/>
          <w:tab w:val="left" w:pos="8208"/>
          <w:tab w:val="left" w:pos="9360"/>
          <w:tab w:val="left" w:pos="10512"/>
        </w:tabs>
        <w:suppressAutoHyphens/>
        <w:spacing w:after="0" w:line="240" w:lineRule="auto"/>
        <w:ind w:firstLine="720"/>
        <w:rPr>
          <w:rFonts w:ascii="Times New Roman" w:hAnsi="Times New Roman" w:cs="Times New Roman"/>
        </w:rPr>
      </w:pPr>
      <w:r w:rsidRPr="009675B9">
        <w:rPr>
          <w:rFonts w:ascii="Times New Roman" w:hAnsi="Times New Roman" w:cs="Times New Roman"/>
        </w:rPr>
        <w:t>Governmental employers may create property interests for employees who would otherwise be at-will employees by employing those individuals under contracts for a specified term—say, a year or two years. During the term of the contract, that individual would have a property interest in employment.</w:t>
      </w:r>
    </w:p>
    <w:p w14:paraId="54F3BF53" w14:textId="77777777" w:rsidR="009675B9" w:rsidRPr="009675B9" w:rsidRDefault="009675B9" w:rsidP="009675B9">
      <w:pPr>
        <w:tabs>
          <w:tab w:val="left" w:pos="1296"/>
          <w:tab w:val="left" w:pos="2448"/>
          <w:tab w:val="left" w:pos="3600"/>
          <w:tab w:val="left" w:pos="4752"/>
          <w:tab w:val="left" w:pos="5904"/>
          <w:tab w:val="left" w:pos="7056"/>
          <w:tab w:val="left" w:pos="8208"/>
          <w:tab w:val="left" w:pos="9360"/>
          <w:tab w:val="left" w:pos="10512"/>
        </w:tabs>
        <w:suppressAutoHyphens/>
        <w:spacing w:after="0" w:line="240" w:lineRule="auto"/>
        <w:rPr>
          <w:rFonts w:ascii="Times New Roman" w:hAnsi="Times New Roman" w:cs="Times New Roman"/>
          <w:b/>
        </w:rPr>
      </w:pPr>
    </w:p>
    <w:p w14:paraId="25FFB4F0" w14:textId="77777777" w:rsidR="009675B9" w:rsidRPr="009675B9" w:rsidRDefault="009675B9" w:rsidP="009675B9">
      <w:pPr>
        <w:spacing w:after="0" w:line="240" w:lineRule="auto"/>
        <w:rPr>
          <w:rFonts w:ascii="Times New Roman" w:hAnsi="Times New Roman" w:cs="Times New Roman"/>
          <w:i/>
        </w:rPr>
      </w:pPr>
      <w:r w:rsidRPr="009675B9">
        <w:rPr>
          <w:rFonts w:ascii="Times New Roman" w:hAnsi="Times New Roman" w:cs="Times New Roman"/>
          <w:i/>
        </w:rPr>
        <w:t>What process is due?</w:t>
      </w:r>
    </w:p>
    <w:p w14:paraId="5DCD103C" w14:textId="77777777" w:rsidR="009675B9" w:rsidRPr="009675B9" w:rsidRDefault="009675B9" w:rsidP="009675B9">
      <w:pPr>
        <w:spacing w:after="0" w:line="240" w:lineRule="auto"/>
        <w:rPr>
          <w:rFonts w:ascii="Times New Roman" w:hAnsi="Times New Roman" w:cs="Times New Roman"/>
        </w:rPr>
      </w:pPr>
    </w:p>
    <w:p w14:paraId="1EF4BEB7"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ab/>
        <w:t>If an employee is subject to the State Personnel Act or to an ordinance by a city or county giving just cause protection, that employee is entitled to due process in connection with dismissal from employment.  What does due process require?</w:t>
      </w:r>
    </w:p>
    <w:p w14:paraId="2E45420E" w14:textId="77777777" w:rsidR="009675B9" w:rsidRPr="009675B9" w:rsidRDefault="009675B9" w:rsidP="009675B9">
      <w:pPr>
        <w:spacing w:after="0" w:line="240" w:lineRule="auto"/>
        <w:rPr>
          <w:rFonts w:ascii="Times New Roman" w:hAnsi="Times New Roman" w:cs="Times New Roman"/>
        </w:rPr>
      </w:pPr>
    </w:p>
    <w:p w14:paraId="3203E92E"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ab/>
        <w:t xml:space="preserve">The United State Supreme Court addressed that question in 1985 in </w:t>
      </w:r>
      <w:r w:rsidRPr="009675B9">
        <w:rPr>
          <w:rFonts w:ascii="Times New Roman" w:hAnsi="Times New Roman" w:cs="Times New Roman"/>
          <w:i/>
        </w:rPr>
        <w:t>Cleveland Board of Education v. Loudermill</w:t>
      </w:r>
      <w:r w:rsidRPr="009675B9">
        <w:rPr>
          <w:rStyle w:val="FootnoteReference"/>
          <w:rFonts w:ascii="Times New Roman" w:hAnsi="Times New Roman" w:cs="Times New Roman"/>
        </w:rPr>
        <w:footnoteReference w:id="29"/>
      </w:r>
      <w:r w:rsidRPr="009675B9">
        <w:rPr>
          <w:rFonts w:ascii="Times New Roman" w:hAnsi="Times New Roman" w:cs="Times New Roman"/>
        </w:rPr>
        <w:t xml:space="preserve"> and the North Carolina Supreme Court puts its own mark on the issue in 1990 in </w:t>
      </w:r>
      <w:r w:rsidRPr="009675B9">
        <w:rPr>
          <w:rFonts w:ascii="Times New Roman" w:hAnsi="Times New Roman" w:cs="Times New Roman"/>
          <w:i/>
        </w:rPr>
        <w:t>Crump v. Hickory Board of Education</w:t>
      </w:r>
      <w:r w:rsidRPr="009675B9">
        <w:rPr>
          <w:rFonts w:ascii="Times New Roman" w:hAnsi="Times New Roman" w:cs="Times New Roman"/>
        </w:rPr>
        <w:t>.</w:t>
      </w:r>
      <w:r w:rsidRPr="009675B9">
        <w:rPr>
          <w:rStyle w:val="FootnoteReference"/>
          <w:rFonts w:ascii="Times New Roman" w:hAnsi="Times New Roman" w:cs="Times New Roman"/>
        </w:rPr>
        <w:footnoteReference w:id="30"/>
      </w:r>
    </w:p>
    <w:p w14:paraId="5B15583C" w14:textId="77777777" w:rsidR="009675B9" w:rsidRPr="009675B9" w:rsidRDefault="009675B9" w:rsidP="009675B9">
      <w:pPr>
        <w:spacing w:after="0" w:line="240" w:lineRule="auto"/>
        <w:rPr>
          <w:rFonts w:ascii="Times New Roman" w:hAnsi="Times New Roman" w:cs="Times New Roman"/>
        </w:rPr>
      </w:pPr>
    </w:p>
    <w:p w14:paraId="5CE6DD6C"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ab/>
        <w:t xml:space="preserve">In </w:t>
      </w:r>
      <w:r w:rsidRPr="009675B9">
        <w:rPr>
          <w:rFonts w:ascii="Times New Roman" w:hAnsi="Times New Roman" w:cs="Times New Roman"/>
          <w:i/>
        </w:rPr>
        <w:t>Loudermill</w:t>
      </w:r>
      <w:r w:rsidRPr="009675B9">
        <w:rPr>
          <w:rFonts w:ascii="Times New Roman" w:hAnsi="Times New Roman" w:cs="Times New Roman"/>
        </w:rPr>
        <w:t xml:space="preserve">, the U.S. Supreme Court said that due process in the context of a property-interest governmental employee contains three main elements:  notice to the employee of the charges against him or her;  an opportunity for the employee to respond;  and a final decision made by an impartial decision maker.  In </w:t>
      </w:r>
      <w:r w:rsidRPr="009675B9">
        <w:rPr>
          <w:rFonts w:ascii="Times New Roman" w:hAnsi="Times New Roman" w:cs="Times New Roman"/>
          <w:i/>
        </w:rPr>
        <w:t>Crump</w:t>
      </w:r>
      <w:r w:rsidRPr="009675B9">
        <w:rPr>
          <w:rFonts w:ascii="Times New Roman" w:hAnsi="Times New Roman" w:cs="Times New Roman"/>
        </w:rPr>
        <w:t xml:space="preserve">, the state high court addressed the question of impartiality.  The court took great care to say that merely having prior knowledge of the facts underlying a decision to dismiss an employee does not cause a decision maker to be less than impartial.  Where governing board members are the decision makers, for example, the court said, </w:t>
      </w:r>
    </w:p>
    <w:p w14:paraId="1FC95A18" w14:textId="77777777" w:rsidR="009675B9" w:rsidRPr="009675B9" w:rsidRDefault="009675B9" w:rsidP="009675B9">
      <w:pPr>
        <w:spacing w:after="0" w:line="240" w:lineRule="auto"/>
        <w:rPr>
          <w:rFonts w:ascii="Times New Roman" w:hAnsi="Times New Roman" w:cs="Times New Roman"/>
        </w:rPr>
      </w:pPr>
    </w:p>
    <w:p w14:paraId="0A9206BD" w14:textId="77777777" w:rsidR="009675B9" w:rsidRPr="009675B9" w:rsidRDefault="009675B9" w:rsidP="009675B9">
      <w:pPr>
        <w:spacing w:after="0" w:line="240" w:lineRule="auto"/>
        <w:ind w:left="1440"/>
        <w:rPr>
          <w:rFonts w:ascii="Times New Roman" w:hAnsi="Times New Roman" w:cs="Times New Roman"/>
        </w:rPr>
      </w:pPr>
      <w:r w:rsidRPr="009675B9">
        <w:rPr>
          <w:rFonts w:ascii="Times New Roman" w:hAnsi="Times New Roman" w:cs="Times New Roman"/>
        </w:rPr>
        <w:t>“Board members will sometimes have discussed certain issues that later become the subject of board deliberations;  such knowledge and discussions are inevitable aspects of their multifaceted roles as administrators, investigators, and adjudicators.”</w:t>
      </w:r>
      <w:r w:rsidRPr="009675B9">
        <w:rPr>
          <w:rStyle w:val="FootnoteReference"/>
          <w:rFonts w:ascii="Times New Roman" w:hAnsi="Times New Roman" w:cs="Times New Roman"/>
        </w:rPr>
        <w:footnoteReference w:id="31"/>
      </w:r>
    </w:p>
    <w:p w14:paraId="1F194718" w14:textId="77777777" w:rsidR="009675B9" w:rsidRPr="009675B9" w:rsidRDefault="009675B9" w:rsidP="009675B9">
      <w:pPr>
        <w:spacing w:after="0" w:line="240" w:lineRule="auto"/>
        <w:rPr>
          <w:rFonts w:ascii="Times New Roman" w:hAnsi="Times New Roman" w:cs="Times New Roman"/>
        </w:rPr>
      </w:pPr>
    </w:p>
    <w:p w14:paraId="27C933AB" w14:textId="77777777" w:rsidR="009675B9" w:rsidRPr="009675B9" w:rsidRDefault="009675B9" w:rsidP="009675B9">
      <w:pPr>
        <w:spacing w:after="0" w:line="240" w:lineRule="auto"/>
        <w:ind w:firstLine="720"/>
        <w:rPr>
          <w:rFonts w:ascii="Times New Roman" w:hAnsi="Times New Roman" w:cs="Times New Roman"/>
        </w:rPr>
      </w:pPr>
      <w:r w:rsidRPr="009675B9">
        <w:rPr>
          <w:rFonts w:ascii="Times New Roman" w:hAnsi="Times New Roman" w:cs="Times New Roman"/>
        </w:rPr>
        <w:t xml:space="preserve">But where a decision maker has prior knowledge but denies having it, that denial is evidence of bias and constitutes a denial of due process.  If the decision maker is a multi-member board, the bias of only one member constitutes sufficient bias by itself to constitute the denial.  </w:t>
      </w:r>
    </w:p>
    <w:p w14:paraId="6CCFF9B1" w14:textId="77777777" w:rsidR="009675B9" w:rsidRPr="009675B9" w:rsidRDefault="009675B9" w:rsidP="009675B9">
      <w:pPr>
        <w:tabs>
          <w:tab w:val="left" w:pos="1296"/>
          <w:tab w:val="left" w:pos="2448"/>
          <w:tab w:val="left" w:pos="3600"/>
          <w:tab w:val="left" w:pos="4752"/>
          <w:tab w:val="left" w:pos="5904"/>
          <w:tab w:val="left" w:pos="7056"/>
          <w:tab w:val="left" w:pos="8208"/>
          <w:tab w:val="left" w:pos="9360"/>
          <w:tab w:val="left" w:pos="10512"/>
        </w:tabs>
        <w:suppressAutoHyphens/>
        <w:spacing w:after="0" w:line="240" w:lineRule="auto"/>
        <w:rPr>
          <w:rFonts w:ascii="Times New Roman" w:hAnsi="Times New Roman" w:cs="Times New Roman"/>
        </w:rPr>
      </w:pPr>
    </w:p>
    <w:p w14:paraId="01AADB96" w14:textId="77777777" w:rsidR="009675B9" w:rsidRPr="009675B9" w:rsidRDefault="009675B9" w:rsidP="009675B9">
      <w:pPr>
        <w:tabs>
          <w:tab w:val="left" w:pos="1296"/>
          <w:tab w:val="left" w:pos="2448"/>
          <w:tab w:val="left" w:pos="3600"/>
          <w:tab w:val="left" w:pos="4752"/>
          <w:tab w:val="left" w:pos="5904"/>
          <w:tab w:val="left" w:pos="7056"/>
          <w:tab w:val="left" w:pos="8208"/>
          <w:tab w:val="left" w:pos="9360"/>
          <w:tab w:val="left" w:pos="10512"/>
        </w:tabs>
        <w:suppressAutoHyphens/>
        <w:spacing w:after="0" w:line="240" w:lineRule="auto"/>
        <w:ind w:firstLine="720"/>
        <w:rPr>
          <w:rFonts w:ascii="Times New Roman" w:hAnsi="Times New Roman" w:cs="Times New Roman"/>
        </w:rPr>
      </w:pPr>
      <w:r w:rsidRPr="009675B9">
        <w:rPr>
          <w:rFonts w:ascii="Times New Roman" w:hAnsi="Times New Roman" w:cs="Times New Roman"/>
        </w:rPr>
        <w:t>Courts consistently describe due process as a flexible concept that will vary with the circumstances.</w:t>
      </w:r>
      <w:r w:rsidRPr="009675B9">
        <w:rPr>
          <w:rStyle w:val="FootnoteReference"/>
          <w:rFonts w:ascii="Times New Roman" w:hAnsi="Times New Roman" w:cs="Times New Roman"/>
        </w:rPr>
        <w:footnoteReference w:id="32"/>
      </w:r>
      <w:r w:rsidRPr="009675B9">
        <w:rPr>
          <w:rFonts w:ascii="Times New Roman" w:hAnsi="Times New Roman" w:cs="Times New Roman"/>
        </w:rPr>
        <w:t xml:space="preserve"> As the North Carolina Supreme Court put it, “We recognize that due process is a somewhat fluid concept, and that determining what process is ‘due’ at a school board hearing is </w:t>
      </w:r>
      <w:r w:rsidRPr="009675B9">
        <w:rPr>
          <w:rFonts w:ascii="Times New Roman" w:hAnsi="Times New Roman" w:cs="Times New Roman"/>
        </w:rPr>
        <w:lastRenderedPageBreak/>
        <w:t>very different from evaluating the procedure protections required in a court of law.”</w:t>
      </w:r>
      <w:r w:rsidRPr="009675B9">
        <w:rPr>
          <w:rStyle w:val="FootnoteReference"/>
          <w:rFonts w:ascii="Times New Roman" w:hAnsi="Times New Roman" w:cs="Times New Roman"/>
        </w:rPr>
        <w:footnoteReference w:id="33"/>
      </w:r>
      <w:r w:rsidRPr="009675B9">
        <w:rPr>
          <w:rFonts w:ascii="Times New Roman" w:hAnsi="Times New Roman" w:cs="Times New Roman"/>
        </w:rPr>
        <w:t xml:space="preserve"> If a governmental employee has a property interest, due process contains at least three main elements: notice to the employee of the charges against him or her; an opportunity for the employee to respond; and a final decision made by an impartial decision maker.</w:t>
      </w:r>
      <w:r w:rsidRPr="009675B9">
        <w:rPr>
          <w:rStyle w:val="FootnoteReference"/>
          <w:rFonts w:ascii="Times New Roman" w:hAnsi="Times New Roman" w:cs="Times New Roman"/>
        </w:rPr>
        <w:footnoteReference w:id="34"/>
      </w:r>
    </w:p>
    <w:p w14:paraId="12B6CCB5" w14:textId="77777777" w:rsidR="009675B9" w:rsidRPr="009675B9" w:rsidRDefault="009675B9" w:rsidP="009675B9">
      <w:pPr>
        <w:tabs>
          <w:tab w:val="left" w:pos="1296"/>
          <w:tab w:val="left" w:pos="2448"/>
          <w:tab w:val="left" w:pos="3600"/>
          <w:tab w:val="left" w:pos="4752"/>
          <w:tab w:val="left" w:pos="5904"/>
          <w:tab w:val="left" w:pos="7056"/>
          <w:tab w:val="left" w:pos="8208"/>
          <w:tab w:val="left" w:pos="9360"/>
          <w:tab w:val="left" w:pos="10512"/>
        </w:tabs>
        <w:suppressAutoHyphens/>
        <w:spacing w:after="0" w:line="240" w:lineRule="auto"/>
        <w:ind w:firstLine="720"/>
        <w:rPr>
          <w:rFonts w:ascii="Times New Roman" w:hAnsi="Times New Roman" w:cs="Times New Roman"/>
        </w:rPr>
      </w:pPr>
    </w:p>
    <w:p w14:paraId="09D7EC9D" w14:textId="77777777" w:rsidR="009675B9" w:rsidRPr="009675B9" w:rsidRDefault="009675B9" w:rsidP="009675B9">
      <w:pPr>
        <w:tabs>
          <w:tab w:val="left" w:pos="1296"/>
          <w:tab w:val="left" w:pos="2448"/>
          <w:tab w:val="left" w:pos="3600"/>
          <w:tab w:val="left" w:pos="4752"/>
          <w:tab w:val="left" w:pos="5904"/>
          <w:tab w:val="left" w:pos="7056"/>
          <w:tab w:val="left" w:pos="8208"/>
          <w:tab w:val="left" w:pos="9360"/>
          <w:tab w:val="left" w:pos="10512"/>
        </w:tabs>
        <w:suppressAutoHyphens/>
        <w:spacing w:after="0" w:line="240" w:lineRule="auto"/>
        <w:ind w:firstLine="720"/>
        <w:rPr>
          <w:rFonts w:ascii="Times New Roman" w:hAnsi="Times New Roman" w:cs="Times New Roman"/>
        </w:rPr>
      </w:pPr>
      <w:r w:rsidRPr="009675B9">
        <w:rPr>
          <w:rFonts w:ascii="Times New Roman" w:hAnsi="Times New Roman" w:cs="Times New Roman"/>
        </w:rPr>
        <w:t>The initial step in meeting these three requirements is a conference with the employee before the adverse employment action is taken.</w:t>
      </w:r>
      <w:r w:rsidRPr="009675B9">
        <w:rPr>
          <w:rStyle w:val="FootnoteReference"/>
          <w:rFonts w:ascii="Times New Roman" w:hAnsi="Times New Roman" w:cs="Times New Roman"/>
        </w:rPr>
        <w:footnoteReference w:id="35"/>
      </w:r>
      <w:r w:rsidRPr="009675B9">
        <w:rPr>
          <w:rFonts w:ascii="Times New Roman" w:hAnsi="Times New Roman" w:cs="Times New Roman"/>
        </w:rPr>
        <w:t xml:space="preserve"> At that conference, the employee is entitled to “oral or written notice of the charges against him, an explanation of the employer’s evidence, and an opportunity to present his side of the story.”</w:t>
      </w:r>
      <w:r w:rsidRPr="009675B9">
        <w:rPr>
          <w:rStyle w:val="FootnoteReference"/>
          <w:rFonts w:ascii="Times New Roman" w:hAnsi="Times New Roman" w:cs="Times New Roman"/>
        </w:rPr>
        <w:footnoteReference w:id="36"/>
      </w:r>
      <w:r w:rsidRPr="009675B9">
        <w:rPr>
          <w:rFonts w:ascii="Times New Roman" w:hAnsi="Times New Roman" w:cs="Times New Roman"/>
        </w:rPr>
        <w:t xml:space="preserve"> The conference can be conducted by the superintendent or other appropriate administrative official. The official conducting the conference must be careful to conduct the conference as a true opportunity for the employee to be heard. In one North Carolina case, a violation of due process was found where the official conducting the conference had the letter of dismissal already prepared and handed it to the employee at the conclusion of the conference.</w:t>
      </w:r>
      <w:r w:rsidRPr="009675B9">
        <w:rPr>
          <w:rStyle w:val="FootnoteReference"/>
          <w:rFonts w:ascii="Times New Roman" w:hAnsi="Times New Roman" w:cs="Times New Roman"/>
        </w:rPr>
        <w:footnoteReference w:id="37"/>
      </w:r>
      <w:r w:rsidRPr="009675B9">
        <w:rPr>
          <w:rFonts w:ascii="Times New Roman" w:hAnsi="Times New Roman" w:cs="Times New Roman"/>
        </w:rPr>
        <w:t xml:space="preserve"> After the conference the decision may be made to go ahead with the adverse action. In that case, due process requires further post action protections.</w:t>
      </w:r>
    </w:p>
    <w:p w14:paraId="3B9CF7A3" w14:textId="77777777" w:rsidR="009675B9" w:rsidRPr="009675B9" w:rsidRDefault="009675B9" w:rsidP="009675B9">
      <w:pPr>
        <w:tabs>
          <w:tab w:val="left" w:pos="1296"/>
          <w:tab w:val="left" w:pos="2448"/>
          <w:tab w:val="left" w:pos="3600"/>
          <w:tab w:val="left" w:pos="4752"/>
          <w:tab w:val="left" w:pos="5904"/>
          <w:tab w:val="left" w:pos="7056"/>
          <w:tab w:val="left" w:pos="8208"/>
          <w:tab w:val="left" w:pos="9360"/>
          <w:tab w:val="left" w:pos="10512"/>
        </w:tabs>
        <w:suppressAutoHyphens/>
        <w:spacing w:after="0" w:line="240" w:lineRule="auto"/>
        <w:ind w:firstLine="720"/>
        <w:rPr>
          <w:rFonts w:ascii="Times New Roman" w:hAnsi="Times New Roman" w:cs="Times New Roman"/>
        </w:rPr>
      </w:pPr>
    </w:p>
    <w:p w14:paraId="0FD4EF53" w14:textId="77777777" w:rsidR="009675B9" w:rsidRPr="009675B9" w:rsidRDefault="009675B9" w:rsidP="009675B9">
      <w:pPr>
        <w:tabs>
          <w:tab w:val="left" w:pos="1296"/>
          <w:tab w:val="left" w:pos="2448"/>
          <w:tab w:val="left" w:pos="3600"/>
          <w:tab w:val="left" w:pos="4752"/>
          <w:tab w:val="left" w:pos="5904"/>
          <w:tab w:val="left" w:pos="7056"/>
          <w:tab w:val="left" w:pos="8208"/>
          <w:tab w:val="left" w:pos="9360"/>
          <w:tab w:val="left" w:pos="10512"/>
        </w:tabs>
        <w:suppressAutoHyphens/>
        <w:spacing w:after="0" w:line="240" w:lineRule="auto"/>
        <w:ind w:firstLine="720"/>
        <w:rPr>
          <w:rFonts w:ascii="Times New Roman" w:hAnsi="Times New Roman" w:cs="Times New Roman"/>
        </w:rPr>
      </w:pPr>
      <w:r w:rsidRPr="009675B9">
        <w:rPr>
          <w:rFonts w:ascii="Times New Roman" w:hAnsi="Times New Roman" w:cs="Times New Roman"/>
        </w:rPr>
        <w:t>The governmental employer must take care to ensure that the notice given to the employee is sufficient to permit the employee to understand fully the reasons for the proposed adverse action and to show that the reasons are untrue.</w:t>
      </w:r>
      <w:r w:rsidRPr="009675B9">
        <w:rPr>
          <w:rStyle w:val="FootnoteReference"/>
          <w:rFonts w:ascii="Times New Roman" w:hAnsi="Times New Roman" w:cs="Times New Roman"/>
        </w:rPr>
        <w:footnoteReference w:id="38"/>
      </w:r>
      <w:r w:rsidRPr="009675B9">
        <w:rPr>
          <w:rFonts w:ascii="Times New Roman" w:hAnsi="Times New Roman" w:cs="Times New Roman"/>
        </w:rPr>
        <w:t xml:space="preserve"> The notice should give the employee the full story. And the employee must be afforded adequate opportunity to be heard, an opportunity that should include the right to confront evidence and witnesses, to present evidence, and to be represented by an attorney.</w:t>
      </w:r>
      <w:r w:rsidRPr="009675B9">
        <w:rPr>
          <w:rStyle w:val="FootnoteReference"/>
          <w:rFonts w:ascii="Times New Roman" w:hAnsi="Times New Roman" w:cs="Times New Roman"/>
        </w:rPr>
        <w:footnoteReference w:id="39"/>
      </w:r>
    </w:p>
    <w:p w14:paraId="76EE0516" w14:textId="77777777" w:rsidR="009675B9" w:rsidRPr="009675B9" w:rsidRDefault="009675B9" w:rsidP="009675B9">
      <w:pPr>
        <w:tabs>
          <w:tab w:val="left" w:pos="1296"/>
          <w:tab w:val="left" w:pos="2448"/>
          <w:tab w:val="left" w:pos="3600"/>
          <w:tab w:val="left" w:pos="4752"/>
          <w:tab w:val="left" w:pos="5904"/>
          <w:tab w:val="left" w:pos="7056"/>
          <w:tab w:val="left" w:pos="8208"/>
          <w:tab w:val="left" w:pos="9360"/>
          <w:tab w:val="left" w:pos="10512"/>
        </w:tabs>
        <w:suppressAutoHyphens/>
        <w:spacing w:after="0" w:line="240" w:lineRule="auto"/>
        <w:ind w:firstLine="720"/>
        <w:rPr>
          <w:rFonts w:ascii="Times New Roman" w:hAnsi="Times New Roman" w:cs="Times New Roman"/>
        </w:rPr>
      </w:pPr>
    </w:p>
    <w:p w14:paraId="24461734" w14:textId="77777777" w:rsidR="009675B9" w:rsidRPr="009675B9" w:rsidRDefault="009675B9" w:rsidP="009675B9">
      <w:pPr>
        <w:tabs>
          <w:tab w:val="left" w:pos="1296"/>
          <w:tab w:val="left" w:pos="2448"/>
          <w:tab w:val="left" w:pos="3600"/>
          <w:tab w:val="left" w:pos="4752"/>
          <w:tab w:val="left" w:pos="5904"/>
          <w:tab w:val="left" w:pos="7056"/>
          <w:tab w:val="left" w:pos="8208"/>
          <w:tab w:val="left" w:pos="9360"/>
          <w:tab w:val="left" w:pos="10512"/>
        </w:tabs>
        <w:suppressAutoHyphens/>
        <w:spacing w:after="0" w:line="240" w:lineRule="auto"/>
        <w:ind w:firstLine="720"/>
        <w:rPr>
          <w:rFonts w:ascii="Times New Roman" w:hAnsi="Times New Roman" w:cs="Times New Roman"/>
        </w:rPr>
      </w:pPr>
      <w:r w:rsidRPr="009675B9">
        <w:rPr>
          <w:rFonts w:ascii="Times New Roman" w:hAnsi="Times New Roman" w:cs="Times New Roman"/>
        </w:rPr>
        <w:t>The third element of due process, that the final decision be made by an impartial decision maker, can trip up employers.  In a North Carolina case arising in the Hickory city school system,</w:t>
      </w:r>
      <w:r w:rsidRPr="009675B9">
        <w:rPr>
          <w:rStyle w:val="FootnoteReference"/>
          <w:rFonts w:ascii="Times New Roman" w:hAnsi="Times New Roman" w:cs="Times New Roman"/>
        </w:rPr>
        <w:footnoteReference w:id="40"/>
      </w:r>
      <w:r w:rsidRPr="009675B9">
        <w:rPr>
          <w:rFonts w:ascii="Times New Roman" w:hAnsi="Times New Roman" w:cs="Times New Roman"/>
        </w:rPr>
        <w:t xml:space="preserve"> in which the board of education upheld the recommendation of the superintendent to dismiss a tenured teacher, the board followed all the required Teacher Tenure Act procedures, and its decision that the teacher merited dismissal was subsequently upheld. Yet the court held that the teacher’s due process rights were abridged and awarded the teacher $78,000 in damages. At the start of the hearing, the board members were asked about their knowledge of the case, and some of them, in essence, denied that they had any previous knowledge. That proved not to be true (one or more board members had had numerous conversations about the teacher’s </w:t>
      </w:r>
      <w:r w:rsidRPr="009675B9">
        <w:rPr>
          <w:rFonts w:ascii="Times New Roman" w:hAnsi="Times New Roman" w:cs="Times New Roman"/>
        </w:rPr>
        <w:lastRenderedPageBreak/>
        <w:t>misconduct, had read accounts in the news media, and so on). The court upheld a finding by the jury to the effect that the board members’ willingness to be less than candid about their previous knowledge indicated “bias,” an inability to act as impartial decision makers. The court took great care to say that merely having the prior knowledge was not an indication of bias; in fact, school board members are expected to keep abreast of events within the school system. “Board members will sometimes have discussed certain issues that later become the subject of board deliberations; such knowledge and discussions are inevitable aspects of their multifaceted roles as administrators, investigators, and adjudicators,” the court said. “However, when performing their quasi</w:t>
      </w:r>
      <w:r w:rsidRPr="009675B9">
        <w:rPr>
          <w:rFonts w:ascii="Times New Roman" w:hAnsi="Times New Roman" w:cs="Times New Roman"/>
        </w:rPr>
        <w:noBreakHyphen/>
        <w:t>judicial function during a board hearing and any resulting deliberations, members must be able to set aside their prior knowledge and preconceptions concerning the matter at issue and base their considerations solely upon evidence adduced at the hearing.”</w:t>
      </w:r>
      <w:r w:rsidRPr="009675B9">
        <w:rPr>
          <w:rStyle w:val="FootnoteReference"/>
          <w:rFonts w:ascii="Times New Roman" w:hAnsi="Times New Roman" w:cs="Times New Roman"/>
        </w:rPr>
        <w:footnoteReference w:id="41"/>
      </w:r>
      <w:r w:rsidRPr="009675B9">
        <w:rPr>
          <w:rFonts w:ascii="Times New Roman" w:hAnsi="Times New Roman" w:cs="Times New Roman"/>
        </w:rPr>
        <w:t xml:space="preserve"> Even if only one member of the board is biased, the court held, that is sufficient to constitute a denial of due process.</w:t>
      </w:r>
    </w:p>
    <w:p w14:paraId="2FF4E342" w14:textId="77777777" w:rsidR="009675B9" w:rsidRPr="009675B9" w:rsidRDefault="009675B9" w:rsidP="009675B9">
      <w:pPr>
        <w:tabs>
          <w:tab w:val="left" w:pos="1296"/>
          <w:tab w:val="left" w:pos="2448"/>
          <w:tab w:val="left" w:pos="3600"/>
          <w:tab w:val="left" w:pos="4752"/>
          <w:tab w:val="left" w:pos="5904"/>
          <w:tab w:val="left" w:pos="7056"/>
          <w:tab w:val="left" w:pos="8208"/>
          <w:tab w:val="left" w:pos="9360"/>
          <w:tab w:val="left" w:pos="10512"/>
        </w:tabs>
        <w:suppressAutoHyphens/>
        <w:spacing w:after="0" w:line="240" w:lineRule="auto"/>
        <w:ind w:firstLine="720"/>
        <w:rPr>
          <w:rFonts w:ascii="Times New Roman" w:hAnsi="Times New Roman" w:cs="Times New Roman"/>
        </w:rPr>
      </w:pPr>
    </w:p>
    <w:p w14:paraId="60BF2BBF" w14:textId="77777777" w:rsidR="009675B9" w:rsidRPr="009675B9" w:rsidRDefault="009675B9" w:rsidP="009675B9">
      <w:pPr>
        <w:tabs>
          <w:tab w:val="left" w:pos="1296"/>
          <w:tab w:val="left" w:pos="2448"/>
          <w:tab w:val="left" w:pos="3600"/>
          <w:tab w:val="left" w:pos="4752"/>
          <w:tab w:val="left" w:pos="5904"/>
          <w:tab w:val="left" w:pos="7056"/>
          <w:tab w:val="left" w:pos="8208"/>
          <w:tab w:val="left" w:pos="9360"/>
          <w:tab w:val="left" w:pos="10512"/>
        </w:tabs>
        <w:suppressAutoHyphens/>
        <w:spacing w:after="0" w:line="240" w:lineRule="auto"/>
        <w:ind w:firstLine="720"/>
        <w:rPr>
          <w:rFonts w:ascii="Times New Roman" w:hAnsi="Times New Roman" w:cs="Times New Roman"/>
        </w:rPr>
      </w:pPr>
      <w:r w:rsidRPr="009675B9">
        <w:rPr>
          <w:rFonts w:ascii="Times New Roman" w:hAnsi="Times New Roman" w:cs="Times New Roman"/>
        </w:rPr>
        <w:t>To preserve their role as impartial decision makers, members of the governing board must be willing to set aside their previous knowledge and preconceptions and base their decision on what happens at the hearing. Most emphatically, they must be candid when asked about their prior knowledge and preconceptions. Board members who are unable or unwilling to set aside their previous knowledge and preconceptions should be asked to remove themselves from consideration of the matter. If they are unwilling, they should be removed by the remaining members of the board.</w:t>
      </w:r>
      <w:r w:rsidRPr="009675B9">
        <w:rPr>
          <w:rStyle w:val="FootnoteReference"/>
          <w:rFonts w:ascii="Times New Roman" w:hAnsi="Times New Roman" w:cs="Times New Roman"/>
        </w:rPr>
        <w:footnoteReference w:id="42"/>
      </w:r>
    </w:p>
    <w:p w14:paraId="20FE3740" w14:textId="77777777" w:rsidR="009675B9" w:rsidRDefault="009675B9" w:rsidP="009675B9"/>
    <w:p w14:paraId="539A4533" w14:textId="77777777" w:rsidR="009675B9" w:rsidRDefault="009675B9" w:rsidP="009675B9"/>
    <w:p w14:paraId="2D2BE72F" w14:textId="77777777" w:rsidR="009675B9" w:rsidRDefault="009675B9">
      <w:pPr>
        <w:rPr>
          <w:rFonts w:ascii="Times New Roman" w:hAnsi="Times New Roman" w:cs="Times New Roman"/>
        </w:rPr>
      </w:pPr>
    </w:p>
    <w:p w14:paraId="6DD0FCEC" w14:textId="77777777" w:rsidR="009675B9" w:rsidRDefault="009675B9">
      <w:pPr>
        <w:rPr>
          <w:rFonts w:ascii="Times New Roman" w:hAnsi="Times New Roman" w:cs="Times New Roman"/>
          <w:sz w:val="44"/>
          <w:szCs w:val="44"/>
        </w:rPr>
      </w:pPr>
      <w:r>
        <w:rPr>
          <w:rFonts w:ascii="Times New Roman" w:hAnsi="Times New Roman" w:cs="Times New Roman"/>
          <w:sz w:val="44"/>
          <w:szCs w:val="44"/>
        </w:rPr>
        <w:br w:type="page"/>
      </w:r>
    </w:p>
    <w:p w14:paraId="7BA2689C" w14:textId="5635ECF9" w:rsidR="009675B9" w:rsidRPr="00FF57FD" w:rsidRDefault="009675B9" w:rsidP="009675B9">
      <w:pPr>
        <w:spacing w:after="0" w:line="240" w:lineRule="auto"/>
        <w:jc w:val="center"/>
        <w:rPr>
          <w:rFonts w:ascii="Times New Roman" w:hAnsi="Times New Roman" w:cs="Times New Roman"/>
          <w:b/>
          <w:bCs/>
          <w:sz w:val="44"/>
          <w:szCs w:val="44"/>
        </w:rPr>
      </w:pPr>
      <w:r w:rsidRPr="00FF57FD">
        <w:rPr>
          <w:rFonts w:ascii="Times New Roman" w:hAnsi="Times New Roman" w:cs="Times New Roman"/>
          <w:b/>
          <w:bCs/>
          <w:sz w:val="44"/>
          <w:szCs w:val="44"/>
        </w:rPr>
        <w:lastRenderedPageBreak/>
        <w:t>Personnel Records</w:t>
      </w:r>
    </w:p>
    <w:p w14:paraId="20941AB7" w14:textId="77777777" w:rsidR="009675B9" w:rsidRPr="00FF57FD" w:rsidRDefault="009675B9" w:rsidP="009675B9">
      <w:pPr>
        <w:spacing w:after="0" w:line="240" w:lineRule="auto"/>
        <w:jc w:val="center"/>
        <w:rPr>
          <w:rFonts w:ascii="Times New Roman" w:hAnsi="Times New Roman" w:cs="Times New Roman"/>
          <w:b/>
          <w:bCs/>
          <w:sz w:val="44"/>
          <w:szCs w:val="44"/>
        </w:rPr>
      </w:pPr>
      <w:r w:rsidRPr="00FF57FD">
        <w:rPr>
          <w:rFonts w:ascii="Times New Roman" w:hAnsi="Times New Roman" w:cs="Times New Roman"/>
          <w:b/>
          <w:bCs/>
          <w:sz w:val="44"/>
          <w:szCs w:val="44"/>
        </w:rPr>
        <w:t>What They Are and When They Can Be Disclosed</w:t>
      </w:r>
    </w:p>
    <w:p w14:paraId="039B2CFC" w14:textId="77777777" w:rsidR="009675B9" w:rsidRPr="009675B9" w:rsidRDefault="009675B9" w:rsidP="009675B9">
      <w:pPr>
        <w:spacing w:after="0" w:line="240" w:lineRule="auto"/>
        <w:rPr>
          <w:rFonts w:ascii="Times New Roman" w:hAnsi="Times New Roman" w:cs="Times New Roman"/>
        </w:rPr>
      </w:pPr>
    </w:p>
    <w:p w14:paraId="73196994"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ab/>
        <w:t>If a record is made or received in connection with the business of the government, it is a public record, open to inspection and copying by anyone who wants to see it.  That’s what the state’s Public Records Law says.</w:t>
      </w:r>
      <w:r w:rsidRPr="009675B9">
        <w:rPr>
          <w:rStyle w:val="FootnoteReference"/>
          <w:rFonts w:ascii="Times New Roman" w:hAnsi="Times New Roman" w:cs="Times New Roman"/>
        </w:rPr>
        <w:footnoteReference w:id="43"/>
      </w:r>
      <w:r w:rsidRPr="009675B9">
        <w:rPr>
          <w:rFonts w:ascii="Times New Roman" w:hAnsi="Times New Roman" w:cs="Times New Roman"/>
        </w:rPr>
        <w:t xml:space="preserve">  There are exceptions, however.  Some records created by the government are not open to public inspection:  criminal investigation records, student records, medical records and others.</w:t>
      </w:r>
    </w:p>
    <w:p w14:paraId="30F44F26" w14:textId="77777777" w:rsidR="009675B9" w:rsidRPr="009675B9" w:rsidRDefault="009675B9" w:rsidP="009675B9">
      <w:pPr>
        <w:spacing w:after="0" w:line="240" w:lineRule="auto"/>
        <w:rPr>
          <w:rFonts w:ascii="Times New Roman" w:hAnsi="Times New Roman" w:cs="Times New Roman"/>
        </w:rPr>
      </w:pPr>
    </w:p>
    <w:p w14:paraId="278D2C5D"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ab/>
        <w:t>In 1975, the General Assembly enacted the first of a set of statutes creating an exception to the Public Records Laws for the contents of the personnel files of employees of the state,</w:t>
      </w:r>
      <w:r w:rsidRPr="009675B9">
        <w:rPr>
          <w:rStyle w:val="FootnoteReference"/>
          <w:rFonts w:ascii="Times New Roman" w:hAnsi="Times New Roman" w:cs="Times New Roman"/>
        </w:rPr>
        <w:footnoteReference w:id="44"/>
      </w:r>
      <w:r w:rsidRPr="009675B9">
        <w:rPr>
          <w:rFonts w:ascii="Times New Roman" w:hAnsi="Times New Roman" w:cs="Times New Roman"/>
        </w:rPr>
        <w:t xml:space="preserve"> cities,</w:t>
      </w:r>
      <w:r w:rsidRPr="009675B9">
        <w:rPr>
          <w:rStyle w:val="FootnoteReference"/>
          <w:rFonts w:ascii="Times New Roman" w:hAnsi="Times New Roman" w:cs="Times New Roman"/>
        </w:rPr>
        <w:footnoteReference w:id="45"/>
      </w:r>
      <w:r w:rsidRPr="009675B9">
        <w:rPr>
          <w:rFonts w:ascii="Times New Roman" w:hAnsi="Times New Roman" w:cs="Times New Roman"/>
        </w:rPr>
        <w:t xml:space="preserve"> and counties.</w:t>
      </w:r>
      <w:r w:rsidRPr="009675B9">
        <w:rPr>
          <w:rStyle w:val="FootnoteReference"/>
          <w:rFonts w:ascii="Times New Roman" w:hAnsi="Times New Roman" w:cs="Times New Roman"/>
        </w:rPr>
        <w:footnoteReference w:id="46"/>
      </w:r>
      <w:r w:rsidRPr="009675B9">
        <w:rPr>
          <w:rFonts w:ascii="Times New Roman" w:hAnsi="Times New Roman" w:cs="Times New Roman"/>
        </w:rPr>
        <w:t xml:space="preserve">  No longer would most information in these employees’ files be public information, but it would instead be confidential and available for release only to a limited set of people:</w:t>
      </w:r>
    </w:p>
    <w:p w14:paraId="6DEBB12B" w14:textId="77777777" w:rsidR="009675B9" w:rsidRPr="009675B9" w:rsidRDefault="009675B9" w:rsidP="009675B9">
      <w:pPr>
        <w:spacing w:after="0" w:line="240" w:lineRule="auto"/>
        <w:rPr>
          <w:rFonts w:ascii="Times New Roman" w:hAnsi="Times New Roman" w:cs="Times New Roman"/>
        </w:rPr>
      </w:pPr>
    </w:p>
    <w:p w14:paraId="05F8A01B" w14:textId="77777777" w:rsidR="009675B9" w:rsidRPr="009675B9" w:rsidRDefault="009675B9" w:rsidP="009675B9">
      <w:pPr>
        <w:pStyle w:val="ListParagraph"/>
        <w:numPr>
          <w:ilvl w:val="0"/>
          <w:numId w:val="1"/>
        </w:numPr>
        <w:spacing w:after="0" w:line="240" w:lineRule="auto"/>
        <w:rPr>
          <w:rFonts w:ascii="Times New Roman" w:hAnsi="Times New Roman" w:cs="Times New Roman"/>
        </w:rPr>
      </w:pPr>
      <w:r w:rsidRPr="009675B9">
        <w:rPr>
          <w:rFonts w:ascii="Times New Roman" w:hAnsi="Times New Roman" w:cs="Times New Roman"/>
        </w:rPr>
        <w:t>the employee himself or herself</w:t>
      </w:r>
    </w:p>
    <w:p w14:paraId="2E22EB6D" w14:textId="77777777" w:rsidR="009675B9" w:rsidRPr="009675B9" w:rsidRDefault="009675B9" w:rsidP="009675B9">
      <w:pPr>
        <w:pStyle w:val="ListParagraph"/>
        <w:numPr>
          <w:ilvl w:val="0"/>
          <w:numId w:val="1"/>
        </w:numPr>
        <w:spacing w:after="0" w:line="240" w:lineRule="auto"/>
        <w:rPr>
          <w:rFonts w:ascii="Times New Roman" w:hAnsi="Times New Roman" w:cs="Times New Roman"/>
        </w:rPr>
      </w:pPr>
      <w:r w:rsidRPr="009675B9">
        <w:rPr>
          <w:rFonts w:ascii="Times New Roman" w:hAnsi="Times New Roman" w:cs="Times New Roman"/>
        </w:rPr>
        <w:t>supervisor</w:t>
      </w:r>
    </w:p>
    <w:p w14:paraId="0CAE703E" w14:textId="77777777" w:rsidR="009675B9" w:rsidRPr="009675B9" w:rsidRDefault="009675B9" w:rsidP="009675B9">
      <w:pPr>
        <w:pStyle w:val="ListParagraph"/>
        <w:numPr>
          <w:ilvl w:val="0"/>
          <w:numId w:val="1"/>
        </w:numPr>
        <w:spacing w:after="0" w:line="240" w:lineRule="auto"/>
        <w:rPr>
          <w:rFonts w:ascii="Times New Roman" w:hAnsi="Times New Roman" w:cs="Times New Roman"/>
        </w:rPr>
      </w:pPr>
      <w:r w:rsidRPr="009675B9">
        <w:rPr>
          <w:rFonts w:ascii="Times New Roman" w:hAnsi="Times New Roman" w:cs="Times New Roman"/>
        </w:rPr>
        <w:t>person with a court order</w:t>
      </w:r>
    </w:p>
    <w:p w14:paraId="1B14C47B" w14:textId="77777777" w:rsidR="009675B9" w:rsidRPr="009675B9" w:rsidRDefault="009675B9" w:rsidP="009675B9">
      <w:pPr>
        <w:pStyle w:val="ListParagraph"/>
        <w:numPr>
          <w:ilvl w:val="0"/>
          <w:numId w:val="1"/>
        </w:numPr>
        <w:spacing w:after="0" w:line="240" w:lineRule="auto"/>
        <w:rPr>
          <w:rFonts w:ascii="Times New Roman" w:hAnsi="Times New Roman" w:cs="Times New Roman"/>
        </w:rPr>
      </w:pPr>
      <w:r w:rsidRPr="009675B9">
        <w:rPr>
          <w:rFonts w:ascii="Times New Roman" w:hAnsi="Times New Roman" w:cs="Times New Roman"/>
        </w:rPr>
        <w:t>official of an agency of government undertaking an official function</w:t>
      </w:r>
    </w:p>
    <w:p w14:paraId="06C260E1" w14:textId="77777777" w:rsidR="009675B9" w:rsidRPr="009675B9" w:rsidRDefault="009675B9" w:rsidP="009675B9">
      <w:pPr>
        <w:pStyle w:val="ListParagraph"/>
        <w:numPr>
          <w:ilvl w:val="0"/>
          <w:numId w:val="1"/>
        </w:numPr>
        <w:spacing w:after="0" w:line="240" w:lineRule="auto"/>
        <w:rPr>
          <w:rFonts w:ascii="Times New Roman" w:hAnsi="Times New Roman" w:cs="Times New Roman"/>
        </w:rPr>
      </w:pPr>
      <w:r w:rsidRPr="009675B9">
        <w:rPr>
          <w:rFonts w:ascii="Times New Roman" w:hAnsi="Times New Roman" w:cs="Times New Roman"/>
        </w:rPr>
        <w:t>anyone with a release granted by the employee</w:t>
      </w:r>
    </w:p>
    <w:p w14:paraId="6A0B4212" w14:textId="77777777" w:rsidR="009675B9" w:rsidRPr="009675B9" w:rsidRDefault="009675B9" w:rsidP="009675B9">
      <w:pPr>
        <w:spacing w:after="0" w:line="240" w:lineRule="auto"/>
        <w:ind w:left="1440"/>
        <w:rPr>
          <w:rFonts w:ascii="Times New Roman" w:hAnsi="Times New Roman" w:cs="Times New Roman"/>
        </w:rPr>
      </w:pPr>
    </w:p>
    <w:p w14:paraId="4CF29E6E"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A limited range of information about an employee would still be public, however:</w:t>
      </w:r>
    </w:p>
    <w:p w14:paraId="12B4BF66" w14:textId="77777777" w:rsidR="009675B9" w:rsidRPr="009675B9" w:rsidRDefault="009675B9" w:rsidP="009675B9">
      <w:pPr>
        <w:spacing w:after="0" w:line="240" w:lineRule="auto"/>
        <w:rPr>
          <w:rFonts w:ascii="Times New Roman" w:hAnsi="Times New Roman" w:cs="Times New Roman"/>
        </w:rPr>
      </w:pPr>
    </w:p>
    <w:p w14:paraId="3B1F72F0" w14:textId="77777777" w:rsidR="009675B9" w:rsidRPr="009675B9" w:rsidRDefault="009675B9" w:rsidP="009675B9">
      <w:pPr>
        <w:pStyle w:val="ListParagraph"/>
        <w:numPr>
          <w:ilvl w:val="0"/>
          <w:numId w:val="2"/>
        </w:numPr>
        <w:spacing w:after="0" w:line="240" w:lineRule="auto"/>
        <w:rPr>
          <w:rFonts w:ascii="Times New Roman" w:hAnsi="Times New Roman" w:cs="Times New Roman"/>
        </w:rPr>
      </w:pPr>
      <w:r w:rsidRPr="009675B9">
        <w:rPr>
          <w:rFonts w:ascii="Times New Roman" w:hAnsi="Times New Roman" w:cs="Times New Roman"/>
        </w:rPr>
        <w:t>name</w:t>
      </w:r>
    </w:p>
    <w:p w14:paraId="40893495" w14:textId="77777777" w:rsidR="009675B9" w:rsidRPr="009675B9" w:rsidRDefault="009675B9" w:rsidP="009675B9">
      <w:pPr>
        <w:pStyle w:val="ListParagraph"/>
        <w:numPr>
          <w:ilvl w:val="0"/>
          <w:numId w:val="2"/>
        </w:numPr>
        <w:spacing w:after="0" w:line="240" w:lineRule="auto"/>
        <w:rPr>
          <w:rFonts w:ascii="Times New Roman" w:hAnsi="Times New Roman" w:cs="Times New Roman"/>
        </w:rPr>
      </w:pPr>
      <w:r w:rsidRPr="009675B9">
        <w:rPr>
          <w:rFonts w:ascii="Times New Roman" w:hAnsi="Times New Roman" w:cs="Times New Roman"/>
        </w:rPr>
        <w:t>age</w:t>
      </w:r>
    </w:p>
    <w:p w14:paraId="6AB31856" w14:textId="77777777" w:rsidR="009675B9" w:rsidRPr="009675B9" w:rsidRDefault="009675B9" w:rsidP="009675B9">
      <w:pPr>
        <w:pStyle w:val="ListParagraph"/>
        <w:numPr>
          <w:ilvl w:val="0"/>
          <w:numId w:val="2"/>
        </w:numPr>
        <w:spacing w:after="0" w:line="240" w:lineRule="auto"/>
        <w:rPr>
          <w:rFonts w:ascii="Times New Roman" w:hAnsi="Times New Roman" w:cs="Times New Roman"/>
        </w:rPr>
      </w:pPr>
      <w:r w:rsidRPr="009675B9">
        <w:rPr>
          <w:rFonts w:ascii="Times New Roman" w:hAnsi="Times New Roman" w:cs="Times New Roman"/>
        </w:rPr>
        <w:t>date of employment</w:t>
      </w:r>
    </w:p>
    <w:p w14:paraId="73B97DC5" w14:textId="77777777" w:rsidR="009675B9" w:rsidRPr="009675B9" w:rsidRDefault="009675B9" w:rsidP="009675B9">
      <w:pPr>
        <w:pStyle w:val="ListParagraph"/>
        <w:numPr>
          <w:ilvl w:val="0"/>
          <w:numId w:val="2"/>
        </w:numPr>
        <w:spacing w:after="0" w:line="240" w:lineRule="auto"/>
        <w:rPr>
          <w:rFonts w:ascii="Times New Roman" w:hAnsi="Times New Roman" w:cs="Times New Roman"/>
        </w:rPr>
      </w:pPr>
      <w:r w:rsidRPr="009675B9">
        <w:rPr>
          <w:rFonts w:ascii="Times New Roman" w:hAnsi="Times New Roman" w:cs="Times New Roman"/>
        </w:rPr>
        <w:t>position</w:t>
      </w:r>
    </w:p>
    <w:p w14:paraId="2E1AE94D" w14:textId="77777777" w:rsidR="009675B9" w:rsidRPr="009675B9" w:rsidRDefault="009675B9" w:rsidP="009675B9">
      <w:pPr>
        <w:pStyle w:val="ListParagraph"/>
        <w:numPr>
          <w:ilvl w:val="0"/>
          <w:numId w:val="2"/>
        </w:numPr>
        <w:spacing w:after="0" w:line="240" w:lineRule="auto"/>
        <w:rPr>
          <w:rFonts w:ascii="Times New Roman" w:hAnsi="Times New Roman" w:cs="Times New Roman"/>
        </w:rPr>
      </w:pPr>
      <w:r w:rsidRPr="009675B9">
        <w:rPr>
          <w:rFonts w:ascii="Times New Roman" w:hAnsi="Times New Roman" w:cs="Times New Roman"/>
        </w:rPr>
        <w:t>current salary</w:t>
      </w:r>
    </w:p>
    <w:p w14:paraId="5974F6D4" w14:textId="77777777" w:rsidR="009675B9" w:rsidRPr="009675B9" w:rsidRDefault="009675B9" w:rsidP="009675B9">
      <w:pPr>
        <w:pStyle w:val="ListParagraph"/>
        <w:numPr>
          <w:ilvl w:val="0"/>
          <w:numId w:val="2"/>
        </w:numPr>
        <w:spacing w:after="0" w:line="240" w:lineRule="auto"/>
        <w:rPr>
          <w:rFonts w:ascii="Times New Roman" w:hAnsi="Times New Roman" w:cs="Times New Roman"/>
        </w:rPr>
      </w:pPr>
      <w:r w:rsidRPr="009675B9">
        <w:rPr>
          <w:rFonts w:ascii="Times New Roman" w:hAnsi="Times New Roman" w:cs="Times New Roman"/>
        </w:rPr>
        <w:t xml:space="preserve">date and amount of most recent </w:t>
      </w:r>
    </w:p>
    <w:p w14:paraId="772E0445" w14:textId="77777777" w:rsidR="009675B9" w:rsidRPr="009675B9" w:rsidRDefault="009675B9" w:rsidP="009675B9">
      <w:pPr>
        <w:pStyle w:val="ListParagraph"/>
        <w:numPr>
          <w:ilvl w:val="0"/>
          <w:numId w:val="2"/>
        </w:numPr>
        <w:spacing w:after="0" w:line="240" w:lineRule="auto"/>
        <w:rPr>
          <w:rFonts w:ascii="Times New Roman" w:hAnsi="Times New Roman" w:cs="Times New Roman"/>
        </w:rPr>
      </w:pPr>
      <w:r w:rsidRPr="009675B9">
        <w:rPr>
          <w:rFonts w:ascii="Times New Roman" w:hAnsi="Times New Roman" w:cs="Times New Roman"/>
        </w:rPr>
        <w:t>date of most recent promotion, demotion, suspension, or separation</w:t>
      </w:r>
    </w:p>
    <w:p w14:paraId="3B66C26E" w14:textId="77777777" w:rsidR="009675B9" w:rsidRPr="009675B9" w:rsidRDefault="009675B9" w:rsidP="009675B9">
      <w:pPr>
        <w:pStyle w:val="ListParagraph"/>
        <w:numPr>
          <w:ilvl w:val="0"/>
          <w:numId w:val="2"/>
        </w:numPr>
        <w:spacing w:after="0" w:line="240" w:lineRule="auto"/>
        <w:rPr>
          <w:rFonts w:ascii="Times New Roman" w:hAnsi="Times New Roman" w:cs="Times New Roman"/>
        </w:rPr>
      </w:pPr>
      <w:r w:rsidRPr="009675B9">
        <w:rPr>
          <w:rFonts w:ascii="Times New Roman" w:hAnsi="Times New Roman" w:cs="Times New Roman"/>
        </w:rPr>
        <w:t>office to which currently assigned</w:t>
      </w:r>
    </w:p>
    <w:p w14:paraId="703DB712" w14:textId="77777777" w:rsidR="009675B9" w:rsidRPr="009675B9" w:rsidRDefault="009675B9" w:rsidP="009675B9">
      <w:pPr>
        <w:spacing w:after="0" w:line="240" w:lineRule="auto"/>
        <w:rPr>
          <w:rFonts w:ascii="Times New Roman" w:hAnsi="Times New Roman" w:cs="Times New Roman"/>
        </w:rPr>
      </w:pPr>
    </w:p>
    <w:p w14:paraId="0AA527D3"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ab/>
        <w:t>In 1987 a substantially similar statutory scheme was put into place for public school employees,</w:t>
      </w:r>
      <w:r w:rsidRPr="009675B9">
        <w:rPr>
          <w:rStyle w:val="FootnoteReference"/>
          <w:rFonts w:ascii="Times New Roman" w:hAnsi="Times New Roman" w:cs="Times New Roman"/>
        </w:rPr>
        <w:footnoteReference w:id="47"/>
      </w:r>
      <w:r w:rsidRPr="009675B9">
        <w:rPr>
          <w:rFonts w:ascii="Times New Roman" w:hAnsi="Times New Roman" w:cs="Times New Roman"/>
        </w:rPr>
        <w:t xml:space="preserve"> and in 1991 one followed for community college employees.</w:t>
      </w:r>
      <w:r w:rsidRPr="009675B9">
        <w:rPr>
          <w:rStyle w:val="FootnoteReference"/>
          <w:rFonts w:ascii="Times New Roman" w:hAnsi="Times New Roman" w:cs="Times New Roman"/>
        </w:rPr>
        <w:footnoteReference w:id="48"/>
      </w:r>
      <w:r w:rsidRPr="009675B9">
        <w:rPr>
          <w:rFonts w:ascii="Times New Roman" w:hAnsi="Times New Roman" w:cs="Times New Roman"/>
        </w:rPr>
        <w:t xml:space="preserve">  Provisions are now </w:t>
      </w:r>
      <w:r w:rsidRPr="009675B9">
        <w:rPr>
          <w:rFonts w:ascii="Times New Roman" w:hAnsi="Times New Roman" w:cs="Times New Roman"/>
        </w:rPr>
        <w:lastRenderedPageBreak/>
        <w:t>in place for area mental health employees,</w:t>
      </w:r>
      <w:r w:rsidRPr="009675B9">
        <w:rPr>
          <w:rStyle w:val="FootnoteReference"/>
          <w:rFonts w:ascii="Times New Roman" w:hAnsi="Times New Roman" w:cs="Times New Roman"/>
        </w:rPr>
        <w:footnoteReference w:id="49"/>
      </w:r>
      <w:r w:rsidRPr="009675B9">
        <w:rPr>
          <w:rFonts w:ascii="Times New Roman" w:hAnsi="Times New Roman" w:cs="Times New Roman"/>
        </w:rPr>
        <w:t xml:space="preserve"> water and sewer authority employees,</w:t>
      </w:r>
      <w:r w:rsidRPr="009675B9">
        <w:rPr>
          <w:rStyle w:val="FootnoteReference"/>
          <w:rFonts w:ascii="Times New Roman" w:hAnsi="Times New Roman" w:cs="Times New Roman"/>
        </w:rPr>
        <w:footnoteReference w:id="50"/>
      </w:r>
      <w:r w:rsidRPr="009675B9">
        <w:rPr>
          <w:rFonts w:ascii="Times New Roman" w:hAnsi="Times New Roman" w:cs="Times New Roman"/>
        </w:rPr>
        <w:t xml:space="preserve"> public health authorities employees,</w:t>
      </w:r>
      <w:r w:rsidRPr="009675B9">
        <w:rPr>
          <w:rStyle w:val="FootnoteReference"/>
          <w:rFonts w:ascii="Times New Roman" w:hAnsi="Times New Roman" w:cs="Times New Roman"/>
        </w:rPr>
        <w:footnoteReference w:id="51"/>
      </w:r>
      <w:r w:rsidRPr="009675B9">
        <w:rPr>
          <w:rFonts w:ascii="Times New Roman" w:hAnsi="Times New Roman" w:cs="Times New Roman"/>
        </w:rPr>
        <w:t xml:space="preserve"> and public hospital employees.</w:t>
      </w:r>
      <w:r w:rsidRPr="009675B9">
        <w:rPr>
          <w:rStyle w:val="FootnoteReference"/>
          <w:rFonts w:ascii="Times New Roman" w:hAnsi="Times New Roman" w:cs="Times New Roman"/>
        </w:rPr>
        <w:footnoteReference w:id="52"/>
      </w:r>
    </w:p>
    <w:p w14:paraId="7CF58DE9" w14:textId="77777777" w:rsidR="009675B9" w:rsidRPr="009675B9" w:rsidRDefault="009675B9" w:rsidP="009675B9">
      <w:pPr>
        <w:spacing w:after="0" w:line="240" w:lineRule="auto"/>
        <w:rPr>
          <w:rFonts w:ascii="Times New Roman" w:hAnsi="Times New Roman" w:cs="Times New Roman"/>
        </w:rPr>
      </w:pPr>
    </w:p>
    <w:p w14:paraId="73520FB0" w14:textId="77777777" w:rsidR="009675B9" w:rsidRPr="009675B9" w:rsidRDefault="009675B9" w:rsidP="009675B9">
      <w:pPr>
        <w:spacing w:after="0" w:line="240" w:lineRule="auto"/>
        <w:rPr>
          <w:rFonts w:ascii="Times New Roman" w:hAnsi="Times New Roman" w:cs="Times New Roman"/>
          <w:i/>
        </w:rPr>
      </w:pPr>
      <w:r w:rsidRPr="009675B9">
        <w:rPr>
          <w:rFonts w:ascii="Times New Roman" w:hAnsi="Times New Roman" w:cs="Times New Roman"/>
          <w:i/>
        </w:rPr>
        <w:t>Confidentiality with respect to applicants 1992</w:t>
      </w:r>
    </w:p>
    <w:p w14:paraId="2E30D072" w14:textId="77777777" w:rsidR="009675B9" w:rsidRPr="009675B9" w:rsidRDefault="009675B9" w:rsidP="009675B9">
      <w:pPr>
        <w:spacing w:after="0" w:line="240" w:lineRule="auto"/>
        <w:rPr>
          <w:rFonts w:ascii="Times New Roman" w:hAnsi="Times New Roman" w:cs="Times New Roman"/>
        </w:rPr>
      </w:pPr>
    </w:p>
    <w:p w14:paraId="21B9627C" w14:textId="77777777" w:rsidR="009675B9" w:rsidRPr="009675B9" w:rsidRDefault="009675B9" w:rsidP="009675B9">
      <w:pPr>
        <w:pStyle w:val="NormalWeb"/>
        <w:spacing w:before="0" w:beforeAutospacing="0" w:after="0" w:afterAutospacing="0"/>
      </w:pPr>
      <w:r w:rsidRPr="009675B9">
        <w:tab/>
        <w:t>It is generally agreed that all information about applicants for employment—even their names—is confidential and not open to the public.  This is a handy idea.  It allows hiring employers to help candidates for high level positions keep their interest secret from their current employers during the interview process.</w:t>
      </w:r>
    </w:p>
    <w:p w14:paraId="6003E3F2" w14:textId="77777777" w:rsidR="009675B9" w:rsidRPr="009675B9" w:rsidRDefault="009675B9" w:rsidP="009675B9">
      <w:pPr>
        <w:pStyle w:val="NormalWeb"/>
        <w:spacing w:before="0" w:beforeAutospacing="0" w:after="0" w:afterAutospacing="0"/>
      </w:pPr>
    </w:p>
    <w:p w14:paraId="104C9DE6" w14:textId="77777777" w:rsidR="009675B9" w:rsidRPr="009675B9" w:rsidRDefault="009675B9" w:rsidP="009675B9">
      <w:pPr>
        <w:pStyle w:val="NormalWeb"/>
        <w:spacing w:before="0" w:beforeAutospacing="0" w:after="0" w:afterAutospacing="0"/>
      </w:pPr>
      <w:r w:rsidRPr="009675B9">
        <w:tab/>
        <w:t xml:space="preserve">The idea comes from a 1992 decision of the North Carolina Supreme Court, </w:t>
      </w:r>
      <w:r w:rsidRPr="009675B9">
        <w:rPr>
          <w:rStyle w:val="Emphasis"/>
          <w:rFonts w:eastAsiaTheme="majorEastAsia"/>
        </w:rPr>
        <w:t>Elkin Tribune, Inc. v. Yadkin County Board of Commissioners</w:t>
      </w:r>
      <w:r w:rsidRPr="009675B9">
        <w:t>.</w:t>
      </w:r>
      <w:r w:rsidRPr="009675B9">
        <w:rPr>
          <w:rStyle w:val="FootnoteReference"/>
          <w:rFonts w:eastAsiaTheme="majorEastAsia"/>
        </w:rPr>
        <w:footnoteReference w:id="53"/>
      </w:r>
      <w:r w:rsidRPr="009675B9">
        <w:t xml:space="preserve">  The Tribune, a local newspaper, wanted to know the names (and look at the applications) of individuals who had applied for the open position of county manager.  The county resisted and the matter eventually got to the state’s highest court. The supreme court clearly and definitively held that the names and applications of applicants were confidential and could not be released to the newspaper or anyone else.</w:t>
      </w:r>
    </w:p>
    <w:p w14:paraId="66523201" w14:textId="77777777" w:rsidR="009675B9" w:rsidRPr="009675B9" w:rsidRDefault="009675B9" w:rsidP="009675B9">
      <w:pPr>
        <w:pStyle w:val="NormalWeb"/>
        <w:spacing w:before="0" w:beforeAutospacing="0" w:after="0" w:afterAutospacing="0"/>
      </w:pPr>
    </w:p>
    <w:p w14:paraId="7A554C11" w14:textId="77777777" w:rsidR="009675B9" w:rsidRPr="009675B9" w:rsidRDefault="009675B9" w:rsidP="009675B9">
      <w:pPr>
        <w:pStyle w:val="NormalWeb"/>
        <w:spacing w:before="0" w:beforeAutospacing="0" w:after="0" w:afterAutospacing="0"/>
      </w:pPr>
      <w:r w:rsidRPr="009675B9">
        <w:tab/>
        <w:t>To reach that conclusion, the supreme court had to give a really close reading to the statute that governs confidentiality of county employee personnel files.  It takes three steps to get there.</w:t>
      </w:r>
    </w:p>
    <w:p w14:paraId="3554241C" w14:textId="77777777" w:rsidR="009675B9" w:rsidRPr="009675B9" w:rsidRDefault="009675B9" w:rsidP="009675B9">
      <w:pPr>
        <w:pStyle w:val="NormalWeb"/>
        <w:spacing w:before="0" w:beforeAutospacing="0" w:after="0" w:afterAutospacing="0"/>
      </w:pPr>
    </w:p>
    <w:p w14:paraId="77FA0A6E" w14:textId="77777777" w:rsidR="009675B9" w:rsidRPr="009675B9" w:rsidRDefault="009675B9" w:rsidP="009675B9">
      <w:pPr>
        <w:pStyle w:val="NormalWeb"/>
        <w:spacing w:before="0" w:beforeAutospacing="0" w:after="0" w:afterAutospacing="0"/>
      </w:pPr>
      <w:r w:rsidRPr="009675B9">
        <w:tab/>
        <w:t>First, the county personnel records confidentiality statute says that it completely controls access to information related to current employees, former employees, and applicants for employment.  Access can be given to personnel file information about those three categories of individuals only if the statute specifically allows it.</w:t>
      </w:r>
    </w:p>
    <w:p w14:paraId="4E6F0A02" w14:textId="77777777" w:rsidR="009675B9" w:rsidRPr="009675B9" w:rsidRDefault="009675B9" w:rsidP="009675B9">
      <w:pPr>
        <w:pStyle w:val="NormalWeb"/>
        <w:spacing w:before="0" w:beforeAutospacing="0" w:after="0" w:afterAutospacing="0"/>
      </w:pPr>
    </w:p>
    <w:p w14:paraId="14DFC5DF" w14:textId="77777777" w:rsidR="009675B9" w:rsidRPr="009675B9" w:rsidRDefault="009675B9" w:rsidP="009675B9">
      <w:pPr>
        <w:pStyle w:val="NormalWeb"/>
        <w:spacing w:before="0" w:beforeAutospacing="0" w:after="0" w:afterAutospacing="0"/>
      </w:pPr>
      <w:r w:rsidRPr="009675B9">
        <w:tab/>
        <w:t>Second, the county statute does specifically allow access to names and certain other information for current employees and former employees.  It specifies that that information is to be available with respect to “employees,” and it defines “employee” to include both current employees and former employees.</w:t>
      </w:r>
    </w:p>
    <w:p w14:paraId="67B6B900" w14:textId="77777777" w:rsidR="009675B9" w:rsidRPr="009675B9" w:rsidRDefault="009675B9" w:rsidP="009675B9">
      <w:pPr>
        <w:pStyle w:val="NormalWeb"/>
        <w:spacing w:before="0" w:beforeAutospacing="0" w:after="0" w:afterAutospacing="0"/>
      </w:pPr>
    </w:p>
    <w:p w14:paraId="67E42FA8" w14:textId="77777777" w:rsidR="009675B9" w:rsidRPr="009675B9" w:rsidRDefault="009675B9" w:rsidP="009675B9">
      <w:pPr>
        <w:pStyle w:val="NormalWeb"/>
        <w:spacing w:before="0" w:beforeAutospacing="0" w:after="0" w:afterAutospacing="0"/>
      </w:pPr>
      <w:r w:rsidRPr="009675B9">
        <w:tab/>
        <w:t>But, third, the county statute does not allow access to any information about applicants.  That’s because it does not define “employee” to include “applicant.”  So, the part of the statute that says personnel file information is confidential does apply to applicants.  By contrast, the part of the statute that allows access to specified information, such as name and salary, does not include “applicants,” only current and former employees.  The conclusion, then, is that name and other information about applicants is completely confidential.</w:t>
      </w:r>
    </w:p>
    <w:p w14:paraId="38052722" w14:textId="77777777" w:rsidR="009675B9" w:rsidRPr="009675B9" w:rsidRDefault="009675B9" w:rsidP="009675B9">
      <w:pPr>
        <w:pStyle w:val="NormalWeb"/>
        <w:spacing w:before="0" w:beforeAutospacing="0" w:after="0" w:afterAutospacing="0"/>
      </w:pPr>
    </w:p>
    <w:p w14:paraId="38BB1ACB" w14:textId="77777777" w:rsidR="009675B9" w:rsidRPr="009675B9" w:rsidRDefault="009675B9" w:rsidP="009675B9">
      <w:pPr>
        <w:pStyle w:val="NormalWeb"/>
        <w:spacing w:before="0" w:beforeAutospacing="0" w:after="0" w:afterAutospacing="0"/>
      </w:pPr>
      <w:r w:rsidRPr="009675B9">
        <w:tab/>
        <w:t>So, if a newspaper (or anyone else) wants to know the names of county employees, it is entitled to a list.  If it wants to know the names of former employees, it is entitled to that list as well.  If it wants to know the names of applicants for a job, however, it cannot have them</w:t>
      </w:r>
    </w:p>
    <w:p w14:paraId="7CFFB69C" w14:textId="77777777" w:rsidR="009675B9" w:rsidRPr="009675B9" w:rsidRDefault="009675B9" w:rsidP="009675B9">
      <w:pPr>
        <w:pStyle w:val="NormalWeb"/>
        <w:spacing w:before="0" w:beforeAutospacing="0" w:after="0" w:afterAutospacing="0"/>
      </w:pPr>
    </w:p>
    <w:p w14:paraId="790D68D8" w14:textId="77777777" w:rsidR="009675B9" w:rsidRPr="009675B9" w:rsidRDefault="009675B9" w:rsidP="009675B9">
      <w:pPr>
        <w:pStyle w:val="NormalWeb"/>
        <w:spacing w:before="0" w:beforeAutospacing="0" w:after="0" w:afterAutospacing="0"/>
      </w:pPr>
      <w:r w:rsidRPr="009675B9">
        <w:tab/>
        <w:t>That case was decided back in 1992.  The relevant parts of the county statute still read the same way, and the interpretation of the statute is the same.  For counties, the names of applicants for jobs are confidential and cannot be given out.</w:t>
      </w:r>
    </w:p>
    <w:p w14:paraId="127C0F26" w14:textId="77777777" w:rsidR="009675B9" w:rsidRPr="009675B9" w:rsidRDefault="009675B9" w:rsidP="009675B9">
      <w:pPr>
        <w:pStyle w:val="NormalWeb"/>
        <w:spacing w:before="0" w:beforeAutospacing="0" w:after="0" w:afterAutospacing="0"/>
      </w:pPr>
    </w:p>
    <w:p w14:paraId="3C5DCED7" w14:textId="77777777" w:rsidR="009675B9" w:rsidRPr="009675B9" w:rsidRDefault="009675B9" w:rsidP="009675B9">
      <w:pPr>
        <w:pStyle w:val="NormalWeb"/>
        <w:spacing w:before="0" w:beforeAutospacing="0" w:after="0" w:afterAutospacing="0"/>
      </w:pPr>
      <w:r w:rsidRPr="009675B9">
        <w:tab/>
        <w:t>For cities, the situation is the same.  Back in 1992, the statute that governs cities as employers, GS 160A-168, was just like the county statute with respect to applicants, and it still is today.  By direct analogy, the names of applicants for jobs with a city are confidential, just as with counties.</w:t>
      </w:r>
    </w:p>
    <w:p w14:paraId="75D4E41F" w14:textId="77777777" w:rsidR="009675B9" w:rsidRPr="009675B9" w:rsidRDefault="009675B9" w:rsidP="009675B9">
      <w:pPr>
        <w:spacing w:after="0" w:line="240" w:lineRule="auto"/>
        <w:rPr>
          <w:rFonts w:ascii="Times New Roman" w:hAnsi="Times New Roman" w:cs="Times New Roman"/>
        </w:rPr>
      </w:pPr>
    </w:p>
    <w:p w14:paraId="03406730"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ab/>
        <w:t>For community colleges and public schools, the answer is probably the same, but the statutes are just enough different that the three-step reasoning cannot be exactly applied.  That’s because those statues, as similar as they are to the county statute, do not define “employee” at all.  They don’t define the term to include “former employees” and thus by extension to exclude “applicants.”  So, steps two and three do not apply.  When these statutes specify that certain information with respect to “employees,” like name and salary, is available for access, does that access apply to former employees, as with counties and cities?  It’s very hard to say.  And it’s very hard to come to the conclusion that it applies to former employees but not applicants.  Nevertheless, since that’s how the courts have dealt with cities and counties, that’s the way most community colleges and public school systems deal with the question of access to information about applicants—they don’t allow it and they keep applicants’ names confidential.  Would the supreme court interpret those statutes the same way it has interpreted the county and city statutes?  It’s hard to say, but the best guess is Yes.</w:t>
      </w:r>
    </w:p>
    <w:p w14:paraId="58C33B88" w14:textId="77777777" w:rsidR="009675B9" w:rsidRPr="009675B9" w:rsidRDefault="009675B9" w:rsidP="009675B9">
      <w:pPr>
        <w:spacing w:after="0" w:line="240" w:lineRule="auto"/>
        <w:rPr>
          <w:rFonts w:ascii="Times New Roman" w:hAnsi="Times New Roman" w:cs="Times New Roman"/>
        </w:rPr>
      </w:pPr>
    </w:p>
    <w:p w14:paraId="54CFB8DC" w14:textId="77777777" w:rsidR="009675B9" w:rsidRPr="009675B9" w:rsidRDefault="009675B9" w:rsidP="009675B9">
      <w:pPr>
        <w:spacing w:after="0" w:line="240" w:lineRule="auto"/>
        <w:rPr>
          <w:rFonts w:ascii="Times New Roman" w:hAnsi="Times New Roman" w:cs="Times New Roman"/>
          <w:i/>
        </w:rPr>
      </w:pPr>
      <w:r w:rsidRPr="009675B9">
        <w:rPr>
          <w:rFonts w:ascii="Times New Roman" w:hAnsi="Times New Roman" w:cs="Times New Roman"/>
          <w:i/>
        </w:rPr>
        <w:t>Expansion of public information in 2010</w:t>
      </w:r>
    </w:p>
    <w:p w14:paraId="3FF3A258" w14:textId="77777777" w:rsidR="009675B9" w:rsidRPr="009675B9" w:rsidRDefault="009675B9" w:rsidP="009675B9">
      <w:pPr>
        <w:spacing w:after="0" w:line="240" w:lineRule="auto"/>
        <w:rPr>
          <w:rFonts w:ascii="Times New Roman" w:hAnsi="Times New Roman" w:cs="Times New Roman"/>
        </w:rPr>
      </w:pPr>
    </w:p>
    <w:p w14:paraId="00A7DC52"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ab/>
        <w:t>In 2010, the General Assembly amended the various public employee confidentiality statutes to expand in five ways the set of information that, despite the general confidentiality of employee records, is available to the public.</w:t>
      </w:r>
    </w:p>
    <w:p w14:paraId="42BBDACE" w14:textId="77777777" w:rsidR="009675B9" w:rsidRPr="009675B9" w:rsidRDefault="009675B9" w:rsidP="009675B9">
      <w:pPr>
        <w:spacing w:after="0" w:line="240" w:lineRule="auto"/>
        <w:rPr>
          <w:rFonts w:ascii="Times New Roman" w:hAnsi="Times New Roman" w:cs="Times New Roman"/>
        </w:rPr>
      </w:pPr>
    </w:p>
    <w:p w14:paraId="3BC5E056"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ab/>
        <w:t>It provided that the entire salary history of a public employee with the current employer is available to the public.  Before 2010, only the current salary and most recent change were available.</w:t>
      </w:r>
    </w:p>
    <w:p w14:paraId="313C1DD5" w14:textId="77777777" w:rsidR="009675B9" w:rsidRPr="009675B9" w:rsidRDefault="009675B9" w:rsidP="009675B9">
      <w:pPr>
        <w:spacing w:after="0" w:line="240" w:lineRule="auto"/>
        <w:rPr>
          <w:rFonts w:ascii="Times New Roman" w:hAnsi="Times New Roman" w:cs="Times New Roman"/>
        </w:rPr>
      </w:pPr>
    </w:p>
    <w:p w14:paraId="6A513F01"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ab/>
        <w:t>It provided that not just the date of the most recent promotion, demotion, suspension or separation was available (as the statute had said in a silly way—just the date?).  The statues now say that the entire job history of an employee with the current employer is publicly available.</w:t>
      </w:r>
    </w:p>
    <w:p w14:paraId="49EB0645" w14:textId="77777777" w:rsidR="009675B9" w:rsidRPr="009675B9" w:rsidRDefault="009675B9" w:rsidP="009675B9">
      <w:pPr>
        <w:spacing w:after="0" w:line="240" w:lineRule="auto"/>
        <w:rPr>
          <w:rFonts w:ascii="Times New Roman" w:hAnsi="Times New Roman" w:cs="Times New Roman"/>
        </w:rPr>
      </w:pPr>
    </w:p>
    <w:p w14:paraId="585C5709"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ab/>
        <w:t>It requires that public employers prepare and make publicly available a “general description of the reasons” for each promotion of a public employee.</w:t>
      </w:r>
    </w:p>
    <w:p w14:paraId="6983E988" w14:textId="77777777" w:rsidR="009675B9" w:rsidRPr="009675B9" w:rsidRDefault="009675B9" w:rsidP="009675B9">
      <w:pPr>
        <w:spacing w:after="0" w:line="240" w:lineRule="auto"/>
        <w:rPr>
          <w:rFonts w:ascii="Times New Roman" w:hAnsi="Times New Roman" w:cs="Times New Roman"/>
        </w:rPr>
      </w:pPr>
    </w:p>
    <w:p w14:paraId="04A2EA84"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ab/>
        <w:t>It requires that public employers tell, with respect to each employee, the reasons for every disciplinary dismissal, suspension, or demotion.</w:t>
      </w:r>
    </w:p>
    <w:p w14:paraId="790B70D6" w14:textId="77777777" w:rsidR="009675B9" w:rsidRPr="009675B9" w:rsidRDefault="009675B9" w:rsidP="009675B9">
      <w:pPr>
        <w:spacing w:after="0" w:line="240" w:lineRule="auto"/>
        <w:rPr>
          <w:rFonts w:ascii="Times New Roman" w:hAnsi="Times New Roman" w:cs="Times New Roman"/>
        </w:rPr>
      </w:pPr>
    </w:p>
    <w:p w14:paraId="46F4CC5C"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ab/>
        <w:t>It provides that, in the case of a dismissal for disciplinary reasons, a written notice setting forth the specific acts or omissions that were the basis for the dismissal is a public document.</w:t>
      </w:r>
    </w:p>
    <w:p w14:paraId="268A2908" w14:textId="77777777" w:rsidR="009675B9" w:rsidRPr="009675B9" w:rsidRDefault="009675B9" w:rsidP="009675B9">
      <w:pPr>
        <w:spacing w:after="0" w:line="240" w:lineRule="auto"/>
        <w:jc w:val="center"/>
        <w:rPr>
          <w:rFonts w:ascii="Times New Roman" w:hAnsi="Times New Roman" w:cs="Times New Roman"/>
          <w:b/>
        </w:rPr>
      </w:pPr>
    </w:p>
    <w:p w14:paraId="1D54CD2F" w14:textId="77777777" w:rsidR="009675B9" w:rsidRPr="009675B9" w:rsidRDefault="009675B9" w:rsidP="009675B9">
      <w:pPr>
        <w:spacing w:after="0" w:line="240" w:lineRule="auto"/>
        <w:jc w:val="center"/>
        <w:rPr>
          <w:rFonts w:ascii="Times New Roman" w:hAnsi="Times New Roman" w:cs="Times New Roman"/>
          <w:b/>
          <w:sz w:val="32"/>
          <w:szCs w:val="32"/>
        </w:rPr>
      </w:pPr>
      <w:r w:rsidRPr="009675B9">
        <w:rPr>
          <w:rFonts w:ascii="Times New Roman" w:hAnsi="Times New Roman" w:cs="Times New Roman"/>
          <w:b/>
          <w:sz w:val="32"/>
          <w:szCs w:val="32"/>
        </w:rPr>
        <w:t>Ten Things to Know About Public Personnel Records</w:t>
      </w:r>
    </w:p>
    <w:p w14:paraId="59503D2B" w14:textId="77777777" w:rsidR="009675B9" w:rsidRPr="009675B9" w:rsidRDefault="009675B9" w:rsidP="009675B9">
      <w:pPr>
        <w:spacing w:after="0" w:line="240" w:lineRule="auto"/>
        <w:rPr>
          <w:rFonts w:ascii="Times New Roman" w:hAnsi="Times New Roman" w:cs="Times New Roman"/>
        </w:rPr>
      </w:pPr>
    </w:p>
    <w:p w14:paraId="76478431" w14:textId="77777777" w:rsidR="009675B9" w:rsidRPr="009675B9" w:rsidRDefault="009675B9" w:rsidP="009675B9">
      <w:pPr>
        <w:spacing w:after="0" w:line="240" w:lineRule="auto"/>
        <w:rPr>
          <w:rFonts w:ascii="Times New Roman" w:hAnsi="Times New Roman" w:cs="Times New Roman"/>
        </w:rPr>
      </w:pPr>
    </w:p>
    <w:p w14:paraId="30A74962" w14:textId="77777777" w:rsidR="009675B9" w:rsidRPr="009675B9" w:rsidRDefault="009675B9" w:rsidP="009675B9">
      <w:pPr>
        <w:spacing w:after="0" w:line="240" w:lineRule="auto"/>
        <w:rPr>
          <w:rFonts w:ascii="Times New Roman" w:hAnsi="Times New Roman" w:cs="Times New Roman"/>
        </w:rPr>
      </w:pPr>
    </w:p>
    <w:p w14:paraId="1CB6F890" w14:textId="77777777" w:rsidR="009675B9" w:rsidRPr="009675B9" w:rsidRDefault="009675B9" w:rsidP="009675B9">
      <w:pPr>
        <w:spacing w:after="0" w:line="240" w:lineRule="auto"/>
        <w:jc w:val="center"/>
        <w:rPr>
          <w:rFonts w:ascii="Times New Roman" w:hAnsi="Times New Roman" w:cs="Times New Roman"/>
        </w:rPr>
      </w:pPr>
      <w:r w:rsidRPr="009675B9">
        <w:rPr>
          <w:rFonts w:ascii="Times New Roman" w:hAnsi="Times New Roman" w:cs="Times New Roman"/>
        </w:rPr>
        <w:t>One</w:t>
      </w:r>
    </w:p>
    <w:p w14:paraId="326A7C7D" w14:textId="77777777" w:rsidR="009675B9" w:rsidRPr="009675B9" w:rsidRDefault="009675B9" w:rsidP="009675B9">
      <w:pPr>
        <w:spacing w:after="0" w:line="240" w:lineRule="auto"/>
        <w:rPr>
          <w:rFonts w:ascii="Times New Roman" w:hAnsi="Times New Roman" w:cs="Times New Roman"/>
        </w:rPr>
      </w:pPr>
    </w:p>
    <w:p w14:paraId="3A368886"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There are lots of different statutes:</w:t>
      </w:r>
    </w:p>
    <w:p w14:paraId="59205099" w14:textId="77777777" w:rsidR="009675B9" w:rsidRPr="009675B9" w:rsidRDefault="009675B9" w:rsidP="009675B9">
      <w:pPr>
        <w:spacing w:after="0" w:line="240" w:lineRule="auto"/>
        <w:jc w:val="center"/>
        <w:rPr>
          <w:rFonts w:ascii="Times New Roman" w:hAnsi="Times New Roman" w:cs="Times New Roman"/>
        </w:rPr>
      </w:pPr>
    </w:p>
    <w:p w14:paraId="47C0E834" w14:textId="77777777" w:rsidR="009675B9" w:rsidRPr="009675B9" w:rsidRDefault="009675B9" w:rsidP="009675B9">
      <w:pPr>
        <w:spacing w:after="0" w:line="240" w:lineRule="auto"/>
        <w:ind w:left="1440"/>
        <w:rPr>
          <w:rFonts w:ascii="Times New Roman" w:hAnsi="Times New Roman" w:cs="Times New Roman"/>
        </w:rPr>
      </w:pPr>
      <w:r w:rsidRPr="009675B9">
        <w:rPr>
          <w:rFonts w:ascii="Times New Roman" w:hAnsi="Times New Roman" w:cs="Times New Roman"/>
        </w:rPr>
        <w:t>state employment</w:t>
      </w:r>
      <w:r w:rsidRPr="009675B9">
        <w:rPr>
          <w:rFonts w:ascii="Times New Roman" w:hAnsi="Times New Roman" w:cs="Times New Roman"/>
        </w:rPr>
        <w:tab/>
      </w:r>
      <w:r w:rsidRPr="009675B9">
        <w:rPr>
          <w:rFonts w:ascii="Times New Roman" w:hAnsi="Times New Roman" w:cs="Times New Roman"/>
        </w:rPr>
        <w:tab/>
        <w:t>GS 126-22 through -29</w:t>
      </w:r>
    </w:p>
    <w:p w14:paraId="4E98FEF0" w14:textId="77777777" w:rsidR="009675B9" w:rsidRPr="009675B9" w:rsidRDefault="009675B9" w:rsidP="009675B9">
      <w:pPr>
        <w:spacing w:after="0" w:line="240" w:lineRule="auto"/>
        <w:ind w:left="1440"/>
        <w:rPr>
          <w:rFonts w:ascii="Times New Roman" w:hAnsi="Times New Roman" w:cs="Times New Roman"/>
        </w:rPr>
      </w:pPr>
      <w:r w:rsidRPr="009675B9">
        <w:rPr>
          <w:rFonts w:ascii="Times New Roman" w:hAnsi="Times New Roman" w:cs="Times New Roman"/>
        </w:rPr>
        <w:t xml:space="preserve">municipal </w:t>
      </w:r>
      <w:r w:rsidRPr="009675B9">
        <w:rPr>
          <w:rFonts w:ascii="Times New Roman" w:hAnsi="Times New Roman" w:cs="Times New Roman"/>
        </w:rPr>
        <w:tab/>
      </w:r>
      <w:r w:rsidRPr="009675B9">
        <w:rPr>
          <w:rFonts w:ascii="Times New Roman" w:hAnsi="Times New Roman" w:cs="Times New Roman"/>
        </w:rPr>
        <w:tab/>
      </w:r>
      <w:r w:rsidRPr="009675B9">
        <w:rPr>
          <w:rFonts w:ascii="Times New Roman" w:hAnsi="Times New Roman" w:cs="Times New Roman"/>
        </w:rPr>
        <w:tab/>
        <w:t>GS 160A-168</w:t>
      </w:r>
    </w:p>
    <w:p w14:paraId="5E79142D" w14:textId="77777777" w:rsidR="009675B9" w:rsidRPr="009675B9" w:rsidRDefault="009675B9" w:rsidP="009675B9">
      <w:pPr>
        <w:spacing w:after="0" w:line="240" w:lineRule="auto"/>
        <w:ind w:left="1440"/>
        <w:rPr>
          <w:rFonts w:ascii="Times New Roman" w:hAnsi="Times New Roman" w:cs="Times New Roman"/>
        </w:rPr>
      </w:pPr>
      <w:r w:rsidRPr="009675B9">
        <w:rPr>
          <w:rFonts w:ascii="Times New Roman" w:hAnsi="Times New Roman" w:cs="Times New Roman"/>
        </w:rPr>
        <w:t>county employment</w:t>
      </w:r>
      <w:r w:rsidRPr="009675B9">
        <w:rPr>
          <w:rFonts w:ascii="Times New Roman" w:hAnsi="Times New Roman" w:cs="Times New Roman"/>
        </w:rPr>
        <w:tab/>
      </w:r>
      <w:r w:rsidRPr="009675B9">
        <w:rPr>
          <w:rFonts w:ascii="Times New Roman" w:hAnsi="Times New Roman" w:cs="Times New Roman"/>
        </w:rPr>
        <w:tab/>
        <w:t>GS 153A-98</w:t>
      </w:r>
    </w:p>
    <w:p w14:paraId="6607FE21" w14:textId="77777777" w:rsidR="009675B9" w:rsidRPr="009675B9" w:rsidRDefault="009675B9" w:rsidP="009675B9">
      <w:pPr>
        <w:spacing w:after="0" w:line="240" w:lineRule="auto"/>
        <w:ind w:left="1440"/>
        <w:rPr>
          <w:rFonts w:ascii="Times New Roman" w:hAnsi="Times New Roman" w:cs="Times New Roman"/>
        </w:rPr>
      </w:pPr>
      <w:r w:rsidRPr="009675B9">
        <w:rPr>
          <w:rFonts w:ascii="Times New Roman" w:hAnsi="Times New Roman" w:cs="Times New Roman"/>
        </w:rPr>
        <w:t>area mental health</w:t>
      </w:r>
      <w:r w:rsidRPr="009675B9">
        <w:rPr>
          <w:rFonts w:ascii="Times New Roman" w:hAnsi="Times New Roman" w:cs="Times New Roman"/>
        </w:rPr>
        <w:tab/>
      </w:r>
      <w:r w:rsidRPr="009675B9">
        <w:rPr>
          <w:rFonts w:ascii="Times New Roman" w:hAnsi="Times New Roman" w:cs="Times New Roman"/>
        </w:rPr>
        <w:tab/>
        <w:t>GS 122C-158</w:t>
      </w:r>
    </w:p>
    <w:p w14:paraId="5BAD1486" w14:textId="77777777" w:rsidR="009675B9" w:rsidRPr="009675B9" w:rsidRDefault="009675B9" w:rsidP="009675B9">
      <w:pPr>
        <w:spacing w:after="0" w:line="240" w:lineRule="auto"/>
        <w:ind w:left="1440"/>
        <w:rPr>
          <w:rFonts w:ascii="Times New Roman" w:hAnsi="Times New Roman" w:cs="Times New Roman"/>
        </w:rPr>
      </w:pPr>
      <w:r w:rsidRPr="009675B9">
        <w:rPr>
          <w:rFonts w:ascii="Times New Roman" w:hAnsi="Times New Roman" w:cs="Times New Roman"/>
        </w:rPr>
        <w:t>public schools</w:t>
      </w:r>
      <w:r w:rsidRPr="009675B9">
        <w:rPr>
          <w:rFonts w:ascii="Times New Roman" w:hAnsi="Times New Roman" w:cs="Times New Roman"/>
        </w:rPr>
        <w:tab/>
      </w:r>
      <w:r w:rsidRPr="009675B9">
        <w:rPr>
          <w:rFonts w:ascii="Times New Roman" w:hAnsi="Times New Roman" w:cs="Times New Roman"/>
        </w:rPr>
        <w:tab/>
      </w:r>
      <w:r w:rsidRPr="009675B9">
        <w:rPr>
          <w:rFonts w:ascii="Times New Roman" w:hAnsi="Times New Roman" w:cs="Times New Roman"/>
        </w:rPr>
        <w:tab/>
        <w:t>GS 115C-319 through -321</w:t>
      </w:r>
    </w:p>
    <w:p w14:paraId="19F93F09" w14:textId="77777777" w:rsidR="009675B9" w:rsidRPr="009675B9" w:rsidRDefault="009675B9" w:rsidP="009675B9">
      <w:pPr>
        <w:spacing w:after="0" w:line="240" w:lineRule="auto"/>
        <w:ind w:left="1440"/>
        <w:rPr>
          <w:rFonts w:ascii="Times New Roman" w:hAnsi="Times New Roman" w:cs="Times New Roman"/>
        </w:rPr>
      </w:pPr>
      <w:r w:rsidRPr="009675B9">
        <w:rPr>
          <w:rFonts w:ascii="Times New Roman" w:hAnsi="Times New Roman" w:cs="Times New Roman"/>
        </w:rPr>
        <w:t>community colleges</w:t>
      </w:r>
      <w:r w:rsidRPr="009675B9">
        <w:rPr>
          <w:rFonts w:ascii="Times New Roman" w:hAnsi="Times New Roman" w:cs="Times New Roman"/>
        </w:rPr>
        <w:tab/>
      </w:r>
      <w:r w:rsidRPr="009675B9">
        <w:rPr>
          <w:rFonts w:ascii="Times New Roman" w:hAnsi="Times New Roman" w:cs="Times New Roman"/>
        </w:rPr>
        <w:tab/>
        <w:t>GS 115D-27 through -30</w:t>
      </w:r>
    </w:p>
    <w:p w14:paraId="09F3F465" w14:textId="77777777" w:rsidR="009675B9" w:rsidRPr="009675B9" w:rsidRDefault="009675B9" w:rsidP="009675B9">
      <w:pPr>
        <w:spacing w:after="0" w:line="240" w:lineRule="auto"/>
        <w:ind w:left="1440"/>
        <w:rPr>
          <w:rFonts w:ascii="Times New Roman" w:hAnsi="Times New Roman" w:cs="Times New Roman"/>
        </w:rPr>
      </w:pPr>
      <w:r w:rsidRPr="009675B9">
        <w:rPr>
          <w:rFonts w:ascii="Times New Roman" w:hAnsi="Times New Roman" w:cs="Times New Roman"/>
        </w:rPr>
        <w:t>water and sewer</w:t>
      </w:r>
      <w:r w:rsidRPr="009675B9">
        <w:rPr>
          <w:rFonts w:ascii="Times New Roman" w:hAnsi="Times New Roman" w:cs="Times New Roman"/>
        </w:rPr>
        <w:tab/>
      </w:r>
      <w:r w:rsidRPr="009675B9">
        <w:rPr>
          <w:rFonts w:ascii="Times New Roman" w:hAnsi="Times New Roman" w:cs="Times New Roman"/>
        </w:rPr>
        <w:tab/>
        <w:t>GS 162A-6.1</w:t>
      </w:r>
    </w:p>
    <w:p w14:paraId="6EF37C0A" w14:textId="77777777" w:rsidR="009675B9" w:rsidRPr="009675B9" w:rsidRDefault="009675B9" w:rsidP="009675B9">
      <w:pPr>
        <w:spacing w:after="0" w:line="240" w:lineRule="auto"/>
        <w:ind w:left="1440"/>
        <w:rPr>
          <w:rFonts w:ascii="Times New Roman" w:hAnsi="Times New Roman" w:cs="Times New Roman"/>
        </w:rPr>
      </w:pPr>
      <w:r w:rsidRPr="009675B9">
        <w:rPr>
          <w:rFonts w:ascii="Times New Roman" w:hAnsi="Times New Roman" w:cs="Times New Roman"/>
        </w:rPr>
        <w:t>public health</w:t>
      </w:r>
      <w:r w:rsidRPr="009675B9">
        <w:rPr>
          <w:rFonts w:ascii="Times New Roman" w:hAnsi="Times New Roman" w:cs="Times New Roman"/>
        </w:rPr>
        <w:tab/>
      </w:r>
      <w:r w:rsidRPr="009675B9">
        <w:rPr>
          <w:rFonts w:ascii="Times New Roman" w:hAnsi="Times New Roman" w:cs="Times New Roman"/>
        </w:rPr>
        <w:tab/>
      </w:r>
      <w:r w:rsidRPr="009675B9">
        <w:rPr>
          <w:rFonts w:ascii="Times New Roman" w:hAnsi="Times New Roman" w:cs="Times New Roman"/>
        </w:rPr>
        <w:tab/>
        <w:t>GS 130A-45.9</w:t>
      </w:r>
    </w:p>
    <w:p w14:paraId="0DEA7210" w14:textId="77777777" w:rsidR="009675B9" w:rsidRPr="009675B9" w:rsidRDefault="009675B9" w:rsidP="009675B9">
      <w:pPr>
        <w:spacing w:after="0" w:line="240" w:lineRule="auto"/>
        <w:ind w:left="1440"/>
        <w:rPr>
          <w:rFonts w:ascii="Times New Roman" w:hAnsi="Times New Roman" w:cs="Times New Roman"/>
        </w:rPr>
      </w:pPr>
      <w:r w:rsidRPr="009675B9">
        <w:rPr>
          <w:rFonts w:ascii="Times New Roman" w:hAnsi="Times New Roman" w:cs="Times New Roman"/>
        </w:rPr>
        <w:t>public hospitals</w:t>
      </w:r>
      <w:r w:rsidRPr="009675B9">
        <w:rPr>
          <w:rFonts w:ascii="Times New Roman" w:hAnsi="Times New Roman" w:cs="Times New Roman"/>
        </w:rPr>
        <w:tab/>
      </w:r>
      <w:r w:rsidRPr="009675B9">
        <w:rPr>
          <w:rFonts w:ascii="Times New Roman" w:hAnsi="Times New Roman" w:cs="Times New Roman"/>
        </w:rPr>
        <w:tab/>
        <w:t>GS 131E-257.2</w:t>
      </w:r>
    </w:p>
    <w:p w14:paraId="76268EF9" w14:textId="77777777" w:rsidR="009675B9" w:rsidRPr="009675B9" w:rsidRDefault="009675B9" w:rsidP="009675B9">
      <w:pPr>
        <w:spacing w:after="0" w:line="240" w:lineRule="auto"/>
        <w:ind w:left="1440"/>
        <w:rPr>
          <w:rFonts w:ascii="Times New Roman" w:hAnsi="Times New Roman" w:cs="Times New Roman"/>
        </w:rPr>
      </w:pPr>
    </w:p>
    <w:p w14:paraId="4047EB61"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But there are no good reasons to have lots of different statutes.  And they are all a little bit different from each other, so watch out.</w:t>
      </w:r>
    </w:p>
    <w:p w14:paraId="221DCB12" w14:textId="77777777" w:rsidR="009675B9" w:rsidRPr="009675B9" w:rsidRDefault="009675B9" w:rsidP="009675B9">
      <w:pPr>
        <w:spacing w:after="0" w:line="240" w:lineRule="auto"/>
        <w:rPr>
          <w:rFonts w:ascii="Times New Roman" w:hAnsi="Times New Roman" w:cs="Times New Roman"/>
        </w:rPr>
      </w:pPr>
    </w:p>
    <w:p w14:paraId="6C043B6A" w14:textId="77777777" w:rsidR="009675B9" w:rsidRPr="009675B9" w:rsidRDefault="009675B9" w:rsidP="009675B9">
      <w:pPr>
        <w:spacing w:after="0" w:line="240" w:lineRule="auto"/>
        <w:rPr>
          <w:rFonts w:ascii="Times New Roman" w:hAnsi="Times New Roman" w:cs="Times New Roman"/>
        </w:rPr>
      </w:pPr>
    </w:p>
    <w:p w14:paraId="79685574" w14:textId="77777777" w:rsidR="009675B9" w:rsidRPr="009675B9" w:rsidRDefault="009675B9" w:rsidP="009675B9">
      <w:pPr>
        <w:spacing w:after="0" w:line="240" w:lineRule="auto"/>
        <w:jc w:val="center"/>
        <w:rPr>
          <w:rFonts w:ascii="Times New Roman" w:hAnsi="Times New Roman" w:cs="Times New Roman"/>
        </w:rPr>
      </w:pPr>
      <w:r w:rsidRPr="009675B9">
        <w:rPr>
          <w:rFonts w:ascii="Times New Roman" w:hAnsi="Times New Roman" w:cs="Times New Roman"/>
        </w:rPr>
        <w:t>Two</w:t>
      </w:r>
    </w:p>
    <w:p w14:paraId="32A33E66" w14:textId="77777777" w:rsidR="009675B9" w:rsidRPr="009675B9" w:rsidRDefault="009675B9" w:rsidP="009675B9">
      <w:pPr>
        <w:spacing w:after="0" w:line="240" w:lineRule="auto"/>
        <w:rPr>
          <w:rFonts w:ascii="Times New Roman" w:hAnsi="Times New Roman" w:cs="Times New Roman"/>
        </w:rPr>
      </w:pPr>
    </w:p>
    <w:p w14:paraId="3B9DA140"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A document is part of the personnel file even if it is not in the manila folder in the boss’s office.</w:t>
      </w:r>
    </w:p>
    <w:p w14:paraId="293FF80E" w14:textId="77777777" w:rsidR="009675B9" w:rsidRPr="009675B9" w:rsidRDefault="009675B9" w:rsidP="009675B9">
      <w:pPr>
        <w:spacing w:after="0" w:line="240" w:lineRule="auto"/>
        <w:rPr>
          <w:rFonts w:ascii="Times New Roman" w:hAnsi="Times New Roman" w:cs="Times New Roman"/>
        </w:rPr>
      </w:pPr>
    </w:p>
    <w:p w14:paraId="161C08D4" w14:textId="77777777" w:rsidR="009675B9" w:rsidRPr="009675B9" w:rsidRDefault="009675B9" w:rsidP="009675B9">
      <w:pPr>
        <w:spacing w:after="0" w:line="240" w:lineRule="auto"/>
        <w:ind w:left="1440"/>
        <w:rPr>
          <w:rFonts w:ascii="Times New Roman" w:hAnsi="Times New Roman" w:cs="Times New Roman"/>
        </w:rPr>
      </w:pPr>
      <w:r w:rsidRPr="009675B9">
        <w:rPr>
          <w:rFonts w:ascii="Times New Roman" w:hAnsi="Times New Roman" w:cs="Times New Roman"/>
        </w:rPr>
        <w:t xml:space="preserve">“[A]n employee's personnel file consists of </w:t>
      </w:r>
      <w:r w:rsidRPr="009675B9">
        <w:rPr>
          <w:rFonts w:ascii="Times New Roman" w:hAnsi="Times New Roman" w:cs="Times New Roman"/>
          <w:b/>
        </w:rPr>
        <w:t>any information in any form</w:t>
      </w:r>
      <w:r w:rsidRPr="009675B9">
        <w:rPr>
          <w:rFonts w:ascii="Times New Roman" w:hAnsi="Times New Roman" w:cs="Times New Roman"/>
        </w:rPr>
        <w:t xml:space="preserve"> gathered by the city with respect to that employee and, by way of illustration but not limitation, relating to his application, selection or nonselection, performance, promotions, demotions, transfers, suspension and other disciplinary actions, evaluation forms, leave, salary, and termination of employment.  As used in this section, ‘employee’ includes former employees of the city.’”</w:t>
      </w:r>
    </w:p>
    <w:p w14:paraId="4C8B7B64" w14:textId="77777777" w:rsidR="009675B9" w:rsidRPr="009675B9" w:rsidRDefault="009675B9" w:rsidP="009675B9">
      <w:pPr>
        <w:spacing w:after="0" w:line="240" w:lineRule="auto"/>
        <w:rPr>
          <w:rFonts w:ascii="Times New Roman" w:hAnsi="Times New Roman" w:cs="Times New Roman"/>
        </w:rPr>
      </w:pPr>
    </w:p>
    <w:p w14:paraId="1E098505" w14:textId="77777777" w:rsidR="009675B9" w:rsidRPr="009675B9" w:rsidRDefault="009675B9" w:rsidP="009675B9">
      <w:pPr>
        <w:spacing w:after="0" w:line="240" w:lineRule="auto"/>
        <w:rPr>
          <w:rFonts w:ascii="Times New Roman" w:hAnsi="Times New Roman" w:cs="Times New Roman"/>
        </w:rPr>
      </w:pPr>
    </w:p>
    <w:p w14:paraId="6E40D48D" w14:textId="77777777" w:rsidR="009675B9" w:rsidRPr="009675B9" w:rsidRDefault="009675B9" w:rsidP="009675B9">
      <w:pPr>
        <w:spacing w:after="0" w:line="240" w:lineRule="auto"/>
        <w:jc w:val="center"/>
        <w:rPr>
          <w:rFonts w:ascii="Times New Roman" w:hAnsi="Times New Roman" w:cs="Times New Roman"/>
        </w:rPr>
      </w:pPr>
      <w:r w:rsidRPr="009675B9">
        <w:rPr>
          <w:rFonts w:ascii="Times New Roman" w:hAnsi="Times New Roman" w:cs="Times New Roman"/>
        </w:rPr>
        <w:t>Three</w:t>
      </w:r>
    </w:p>
    <w:p w14:paraId="482706DB" w14:textId="77777777" w:rsidR="009675B9" w:rsidRPr="009675B9" w:rsidRDefault="009675B9" w:rsidP="009675B9">
      <w:pPr>
        <w:spacing w:after="0" w:line="240" w:lineRule="auto"/>
        <w:rPr>
          <w:rFonts w:ascii="Times New Roman" w:hAnsi="Times New Roman" w:cs="Times New Roman"/>
        </w:rPr>
      </w:pPr>
    </w:p>
    <w:p w14:paraId="1C3ECD1D"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Most of the information in a personnel file is confidential, in contrast to government records generally.</w:t>
      </w:r>
    </w:p>
    <w:p w14:paraId="304F84F0" w14:textId="77777777" w:rsidR="009675B9" w:rsidRPr="009675B9" w:rsidRDefault="009675B9" w:rsidP="009675B9">
      <w:pPr>
        <w:spacing w:after="0" w:line="240" w:lineRule="auto"/>
        <w:rPr>
          <w:rFonts w:ascii="Times New Roman" w:hAnsi="Times New Roman" w:cs="Times New Roman"/>
        </w:rPr>
      </w:pPr>
    </w:p>
    <w:p w14:paraId="75ABB5E3" w14:textId="77777777" w:rsidR="009675B9" w:rsidRPr="009675B9" w:rsidRDefault="009675B9" w:rsidP="009675B9">
      <w:pPr>
        <w:spacing w:after="0" w:line="240" w:lineRule="auto"/>
        <w:ind w:left="720"/>
        <w:rPr>
          <w:rFonts w:ascii="Times New Roman" w:hAnsi="Times New Roman" w:cs="Times New Roman"/>
        </w:rPr>
      </w:pPr>
      <w:r w:rsidRPr="009675B9">
        <w:rPr>
          <w:rFonts w:ascii="Times New Roman" w:hAnsi="Times New Roman" w:cs="Times New Roman"/>
        </w:rPr>
        <w:t>Notwithstanding the provisions of G.S. 132</w:t>
      </w:r>
      <w:r w:rsidRPr="009675B9">
        <w:rPr>
          <w:rFonts w:ascii="Times New Roman" w:hAnsi="Times New Roman" w:cs="Times New Roman"/>
        </w:rPr>
        <w:noBreakHyphen/>
        <w:t>6 or any other general law or local act concerning access to public records, personnel files of employees, former employees, or applicants for employment maintained by a city are subject to inspection and may be disclosed only as provided by this section.</w:t>
      </w:r>
    </w:p>
    <w:p w14:paraId="576DC956" w14:textId="77777777" w:rsidR="009675B9" w:rsidRPr="009675B9" w:rsidRDefault="009675B9" w:rsidP="009675B9">
      <w:pPr>
        <w:spacing w:after="0" w:line="240" w:lineRule="auto"/>
        <w:rPr>
          <w:rFonts w:ascii="Times New Roman" w:hAnsi="Times New Roman" w:cs="Times New Roman"/>
        </w:rPr>
      </w:pPr>
    </w:p>
    <w:p w14:paraId="29D1DC75" w14:textId="77777777" w:rsidR="009675B9" w:rsidRPr="009675B9" w:rsidRDefault="009675B9" w:rsidP="009675B9">
      <w:pPr>
        <w:spacing w:after="0" w:line="240" w:lineRule="auto"/>
        <w:rPr>
          <w:rFonts w:ascii="Times New Roman" w:hAnsi="Times New Roman" w:cs="Times New Roman"/>
        </w:rPr>
      </w:pPr>
    </w:p>
    <w:p w14:paraId="730343C6" w14:textId="77777777" w:rsidR="009675B9" w:rsidRPr="009675B9" w:rsidRDefault="009675B9" w:rsidP="009675B9">
      <w:pPr>
        <w:spacing w:after="0" w:line="240" w:lineRule="auto"/>
        <w:jc w:val="center"/>
        <w:rPr>
          <w:rFonts w:ascii="Times New Roman" w:hAnsi="Times New Roman" w:cs="Times New Roman"/>
        </w:rPr>
      </w:pPr>
    </w:p>
    <w:p w14:paraId="5F4C09E0" w14:textId="77777777" w:rsidR="009675B9" w:rsidRPr="009675B9" w:rsidRDefault="009675B9" w:rsidP="009675B9">
      <w:pPr>
        <w:spacing w:after="0" w:line="240" w:lineRule="auto"/>
        <w:jc w:val="center"/>
        <w:rPr>
          <w:rFonts w:ascii="Times New Roman" w:hAnsi="Times New Roman" w:cs="Times New Roman"/>
        </w:rPr>
      </w:pPr>
      <w:r w:rsidRPr="009675B9">
        <w:rPr>
          <w:rFonts w:ascii="Times New Roman" w:hAnsi="Times New Roman" w:cs="Times New Roman"/>
        </w:rPr>
        <w:t>Four</w:t>
      </w:r>
    </w:p>
    <w:p w14:paraId="0323B577" w14:textId="77777777" w:rsidR="009675B9" w:rsidRPr="009675B9" w:rsidRDefault="009675B9" w:rsidP="009675B9">
      <w:pPr>
        <w:spacing w:after="0" w:line="240" w:lineRule="auto"/>
        <w:rPr>
          <w:rFonts w:ascii="Times New Roman" w:hAnsi="Times New Roman" w:cs="Times New Roman"/>
        </w:rPr>
      </w:pPr>
    </w:p>
    <w:p w14:paraId="0BF5369A"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Some information in the personnel file is always open to the public.</w:t>
      </w:r>
    </w:p>
    <w:p w14:paraId="593C7768" w14:textId="77777777" w:rsidR="009675B9" w:rsidRPr="009675B9" w:rsidRDefault="009675B9" w:rsidP="009675B9">
      <w:pPr>
        <w:spacing w:after="0" w:line="240" w:lineRule="auto"/>
        <w:rPr>
          <w:rFonts w:ascii="Times New Roman" w:hAnsi="Times New Roman" w:cs="Times New Roman"/>
        </w:rPr>
      </w:pPr>
    </w:p>
    <w:p w14:paraId="7FBDA9DC" w14:textId="77777777" w:rsidR="009675B9" w:rsidRPr="009675B9" w:rsidRDefault="009675B9" w:rsidP="009675B9">
      <w:pPr>
        <w:pStyle w:val="NoSpacing"/>
        <w:ind w:left="1440"/>
      </w:pPr>
      <w:r w:rsidRPr="009675B9">
        <w:t>(1) Name.</w:t>
      </w:r>
    </w:p>
    <w:p w14:paraId="2A2A4CB7" w14:textId="77777777" w:rsidR="009675B9" w:rsidRPr="009675B9" w:rsidRDefault="009675B9" w:rsidP="009675B9">
      <w:pPr>
        <w:pStyle w:val="NoSpacing"/>
        <w:ind w:left="1440"/>
      </w:pPr>
      <w:r w:rsidRPr="009675B9">
        <w:t>(2) Age.</w:t>
      </w:r>
    </w:p>
    <w:p w14:paraId="33CDE29F" w14:textId="77777777" w:rsidR="009675B9" w:rsidRPr="009675B9" w:rsidRDefault="009675B9" w:rsidP="009675B9">
      <w:pPr>
        <w:pStyle w:val="NoSpacing"/>
        <w:ind w:left="1440"/>
      </w:pPr>
      <w:r w:rsidRPr="009675B9">
        <w:t>(3) Date of original employment or appointment to the service.</w:t>
      </w:r>
    </w:p>
    <w:p w14:paraId="7C7BB4F1" w14:textId="77777777" w:rsidR="009675B9" w:rsidRPr="009675B9" w:rsidRDefault="009675B9" w:rsidP="009675B9">
      <w:pPr>
        <w:pStyle w:val="NoSpacing"/>
        <w:ind w:left="1440"/>
      </w:pPr>
      <w:r w:rsidRPr="009675B9">
        <w:t>(4) The terms of any contract by which the employee is employed whether</w:t>
      </w:r>
    </w:p>
    <w:p w14:paraId="30D970D2" w14:textId="77777777" w:rsidR="009675B9" w:rsidRPr="009675B9" w:rsidRDefault="009675B9" w:rsidP="009675B9">
      <w:pPr>
        <w:pStyle w:val="NoSpacing"/>
        <w:ind w:left="1440" w:firstLine="720"/>
      </w:pPr>
      <w:r w:rsidRPr="009675B9">
        <w:t xml:space="preserve">written or oral, past and current, to the extent that the city has the </w:t>
      </w:r>
    </w:p>
    <w:p w14:paraId="20C9F817" w14:textId="77777777" w:rsidR="009675B9" w:rsidRPr="009675B9" w:rsidRDefault="009675B9" w:rsidP="009675B9">
      <w:pPr>
        <w:pStyle w:val="NoSpacing"/>
        <w:ind w:left="1440" w:firstLine="720"/>
      </w:pPr>
      <w:r w:rsidRPr="009675B9">
        <w:t>written contract or a record of the oral contract in its possession.</w:t>
      </w:r>
    </w:p>
    <w:p w14:paraId="7F3F4EFC" w14:textId="77777777" w:rsidR="009675B9" w:rsidRPr="009675B9" w:rsidRDefault="009675B9" w:rsidP="009675B9">
      <w:pPr>
        <w:pStyle w:val="NoSpacing"/>
        <w:ind w:left="1440"/>
      </w:pPr>
      <w:r w:rsidRPr="009675B9">
        <w:t>(5) Current position.</w:t>
      </w:r>
    </w:p>
    <w:p w14:paraId="3AC62870" w14:textId="77777777" w:rsidR="009675B9" w:rsidRPr="009675B9" w:rsidRDefault="009675B9" w:rsidP="009675B9">
      <w:pPr>
        <w:pStyle w:val="NoSpacing"/>
        <w:ind w:left="1440"/>
      </w:pPr>
      <w:r w:rsidRPr="009675B9">
        <w:t>(6) Title.</w:t>
      </w:r>
    </w:p>
    <w:p w14:paraId="5F0A1326" w14:textId="77777777" w:rsidR="009675B9" w:rsidRPr="009675B9" w:rsidRDefault="009675B9" w:rsidP="009675B9">
      <w:pPr>
        <w:pStyle w:val="NoSpacing"/>
        <w:ind w:left="1440"/>
      </w:pPr>
      <w:r w:rsidRPr="009675B9">
        <w:t>(7) Current salary.</w:t>
      </w:r>
    </w:p>
    <w:p w14:paraId="208D7711" w14:textId="77777777" w:rsidR="009675B9" w:rsidRPr="009675B9" w:rsidRDefault="009675B9" w:rsidP="009675B9">
      <w:pPr>
        <w:pStyle w:val="NoSpacing"/>
        <w:ind w:left="1440"/>
      </w:pPr>
      <w:r w:rsidRPr="009675B9">
        <w:t xml:space="preserve">(8) Date and amount of </w:t>
      </w:r>
      <w:r w:rsidRPr="009675B9">
        <w:rPr>
          <w:u w:val="single"/>
        </w:rPr>
        <w:t>each</w:t>
      </w:r>
      <w:r w:rsidRPr="009675B9">
        <w:t xml:space="preserve"> increase or decrease in salary with that </w:t>
      </w:r>
    </w:p>
    <w:p w14:paraId="6E1D8DFB" w14:textId="77777777" w:rsidR="009675B9" w:rsidRPr="009675B9" w:rsidRDefault="009675B9" w:rsidP="009675B9">
      <w:pPr>
        <w:pStyle w:val="NoSpacing"/>
        <w:ind w:left="1440"/>
      </w:pPr>
      <w:r w:rsidRPr="009675B9">
        <w:tab/>
        <w:t>municipality.</w:t>
      </w:r>
    </w:p>
    <w:p w14:paraId="7EDCC8F8" w14:textId="77777777" w:rsidR="009675B9" w:rsidRPr="009675B9" w:rsidRDefault="009675B9" w:rsidP="009675B9">
      <w:pPr>
        <w:pStyle w:val="NoSpacing"/>
        <w:ind w:left="1440"/>
      </w:pPr>
      <w:r w:rsidRPr="009675B9">
        <w:t xml:space="preserve">(9) Date </w:t>
      </w:r>
      <w:r w:rsidRPr="009675B9">
        <w:rPr>
          <w:u w:val="single"/>
        </w:rPr>
        <w:t>and type</w:t>
      </w:r>
      <w:r w:rsidRPr="009675B9">
        <w:t xml:space="preserve"> of </w:t>
      </w:r>
      <w:r w:rsidRPr="009675B9">
        <w:rPr>
          <w:u w:val="single"/>
        </w:rPr>
        <w:t>each</w:t>
      </w:r>
      <w:r w:rsidRPr="009675B9">
        <w:t xml:space="preserve"> promotion, demotion, transfer, suspension, </w:t>
      </w:r>
    </w:p>
    <w:p w14:paraId="7716DCC8" w14:textId="77777777" w:rsidR="009675B9" w:rsidRPr="009675B9" w:rsidRDefault="009675B9" w:rsidP="009675B9">
      <w:pPr>
        <w:pStyle w:val="NoSpacing"/>
        <w:ind w:left="1440"/>
      </w:pPr>
      <w:r w:rsidRPr="009675B9">
        <w:tab/>
        <w:t xml:space="preserve">separation, or other change in position classification with that </w:t>
      </w:r>
    </w:p>
    <w:p w14:paraId="4320ED40" w14:textId="77777777" w:rsidR="009675B9" w:rsidRPr="009675B9" w:rsidRDefault="009675B9" w:rsidP="009675B9">
      <w:pPr>
        <w:pStyle w:val="NoSpacing"/>
        <w:ind w:left="1440"/>
      </w:pPr>
      <w:r w:rsidRPr="009675B9">
        <w:tab/>
        <w:t>municipality.</w:t>
      </w:r>
    </w:p>
    <w:p w14:paraId="613A8F2F" w14:textId="77777777" w:rsidR="009675B9" w:rsidRPr="009675B9" w:rsidRDefault="009675B9" w:rsidP="009675B9">
      <w:pPr>
        <w:pStyle w:val="NoSpacing"/>
        <w:ind w:left="1440"/>
        <w:rPr>
          <w:u w:val="single"/>
        </w:rPr>
      </w:pPr>
      <w:r w:rsidRPr="009675B9">
        <w:t xml:space="preserve">(10) </w:t>
      </w:r>
      <w:r w:rsidRPr="009675B9">
        <w:rPr>
          <w:u w:val="single"/>
        </w:rPr>
        <w:t xml:space="preserve">Date and general description of the reasons for each promotion with </w:t>
      </w:r>
    </w:p>
    <w:p w14:paraId="1E93DD3C" w14:textId="77777777" w:rsidR="009675B9" w:rsidRPr="009675B9" w:rsidRDefault="009675B9" w:rsidP="009675B9">
      <w:pPr>
        <w:pStyle w:val="NoSpacing"/>
        <w:ind w:left="1440"/>
      </w:pPr>
      <w:r w:rsidRPr="009675B9">
        <w:tab/>
      </w:r>
      <w:r w:rsidRPr="009675B9">
        <w:rPr>
          <w:u w:val="single"/>
        </w:rPr>
        <w:t>that municipality</w:t>
      </w:r>
      <w:r w:rsidRPr="009675B9">
        <w:t>.</w:t>
      </w:r>
    </w:p>
    <w:p w14:paraId="299B1480" w14:textId="77777777" w:rsidR="009675B9" w:rsidRPr="009675B9" w:rsidRDefault="009675B9" w:rsidP="009675B9">
      <w:pPr>
        <w:pStyle w:val="NoSpacing"/>
        <w:ind w:left="1440"/>
        <w:rPr>
          <w:u w:val="single"/>
        </w:rPr>
      </w:pPr>
      <w:r w:rsidRPr="009675B9">
        <w:t xml:space="preserve">(11) </w:t>
      </w:r>
      <w:r w:rsidRPr="009675B9">
        <w:rPr>
          <w:u w:val="single"/>
        </w:rPr>
        <w:t xml:space="preserve">Date and type of each dismissal, suspension, or demotion for </w:t>
      </w:r>
    </w:p>
    <w:p w14:paraId="3D6E33D7" w14:textId="77777777" w:rsidR="009675B9" w:rsidRPr="009675B9" w:rsidRDefault="009675B9" w:rsidP="009675B9">
      <w:pPr>
        <w:pStyle w:val="NoSpacing"/>
        <w:ind w:left="1440"/>
        <w:rPr>
          <w:u w:val="single"/>
        </w:rPr>
      </w:pPr>
      <w:r w:rsidRPr="009675B9">
        <w:tab/>
      </w:r>
      <w:r w:rsidRPr="009675B9">
        <w:rPr>
          <w:u w:val="single"/>
        </w:rPr>
        <w:t xml:space="preserve">disciplinary reasons taken by the municipality. If the disciplinary </w:t>
      </w:r>
    </w:p>
    <w:p w14:paraId="47C78191" w14:textId="77777777" w:rsidR="009675B9" w:rsidRPr="009675B9" w:rsidRDefault="009675B9" w:rsidP="009675B9">
      <w:pPr>
        <w:pStyle w:val="NoSpacing"/>
        <w:ind w:left="1440"/>
        <w:rPr>
          <w:u w:val="single"/>
        </w:rPr>
      </w:pPr>
      <w:r w:rsidRPr="009675B9">
        <w:tab/>
      </w:r>
      <w:r w:rsidRPr="009675B9">
        <w:rPr>
          <w:u w:val="single"/>
        </w:rPr>
        <w:t xml:space="preserve">action was a dismissal, a copy of the written notice of the final </w:t>
      </w:r>
    </w:p>
    <w:p w14:paraId="4BC275EF" w14:textId="77777777" w:rsidR="009675B9" w:rsidRPr="009675B9" w:rsidRDefault="009675B9" w:rsidP="009675B9">
      <w:pPr>
        <w:pStyle w:val="NoSpacing"/>
        <w:ind w:left="1440"/>
        <w:rPr>
          <w:u w:val="single"/>
        </w:rPr>
      </w:pPr>
      <w:r w:rsidRPr="009675B9">
        <w:tab/>
      </w:r>
      <w:r w:rsidRPr="009675B9">
        <w:rPr>
          <w:u w:val="single"/>
        </w:rPr>
        <w:t xml:space="preserve">decision of the municipality setting forth the specific acts or </w:t>
      </w:r>
    </w:p>
    <w:p w14:paraId="7E333EFE" w14:textId="77777777" w:rsidR="009675B9" w:rsidRPr="009675B9" w:rsidRDefault="009675B9" w:rsidP="009675B9">
      <w:pPr>
        <w:pStyle w:val="NoSpacing"/>
        <w:ind w:left="1440"/>
      </w:pPr>
      <w:r w:rsidRPr="009675B9">
        <w:tab/>
      </w:r>
      <w:r w:rsidRPr="009675B9">
        <w:rPr>
          <w:u w:val="single"/>
        </w:rPr>
        <w:t>omissions that are the basis of the dismissal</w:t>
      </w:r>
      <w:r w:rsidRPr="009675B9">
        <w:t>.</w:t>
      </w:r>
    </w:p>
    <w:p w14:paraId="0F048911" w14:textId="77777777" w:rsidR="009675B9" w:rsidRPr="009675B9" w:rsidRDefault="009675B9" w:rsidP="009675B9">
      <w:pPr>
        <w:pStyle w:val="NoSpacing"/>
        <w:ind w:left="1440"/>
      </w:pPr>
      <w:r w:rsidRPr="009675B9">
        <w:t>(12) The office to which the employee is currently assigned.</w:t>
      </w:r>
    </w:p>
    <w:p w14:paraId="3C0B0F24" w14:textId="77777777" w:rsidR="009675B9" w:rsidRPr="009675B9" w:rsidRDefault="009675B9" w:rsidP="009675B9">
      <w:pPr>
        <w:spacing w:after="0" w:line="240" w:lineRule="auto"/>
        <w:ind w:left="720"/>
        <w:rPr>
          <w:rFonts w:ascii="Times New Roman" w:hAnsi="Times New Roman" w:cs="Times New Roman"/>
        </w:rPr>
      </w:pPr>
    </w:p>
    <w:p w14:paraId="0F50BA3D" w14:textId="77777777" w:rsidR="009675B9" w:rsidRPr="009675B9" w:rsidRDefault="009675B9" w:rsidP="009675B9">
      <w:pPr>
        <w:spacing w:after="0" w:line="240" w:lineRule="auto"/>
        <w:ind w:left="720"/>
        <w:rPr>
          <w:rFonts w:ascii="Times New Roman" w:hAnsi="Times New Roman" w:cs="Times New Roman"/>
        </w:rPr>
      </w:pPr>
    </w:p>
    <w:p w14:paraId="270567B1" w14:textId="77777777" w:rsidR="009675B9" w:rsidRPr="009675B9" w:rsidRDefault="009675B9" w:rsidP="009675B9">
      <w:pPr>
        <w:spacing w:after="0" w:line="240" w:lineRule="auto"/>
        <w:jc w:val="center"/>
        <w:rPr>
          <w:rFonts w:ascii="Times New Roman" w:hAnsi="Times New Roman" w:cs="Times New Roman"/>
        </w:rPr>
      </w:pPr>
      <w:r w:rsidRPr="009675B9">
        <w:rPr>
          <w:rFonts w:ascii="Times New Roman" w:hAnsi="Times New Roman" w:cs="Times New Roman"/>
        </w:rPr>
        <w:t>Five</w:t>
      </w:r>
    </w:p>
    <w:p w14:paraId="1567A741" w14:textId="77777777" w:rsidR="009675B9" w:rsidRPr="009675B9" w:rsidRDefault="009675B9" w:rsidP="009675B9">
      <w:pPr>
        <w:spacing w:after="0" w:line="240" w:lineRule="auto"/>
        <w:rPr>
          <w:rFonts w:ascii="Times New Roman" w:hAnsi="Times New Roman" w:cs="Times New Roman"/>
        </w:rPr>
      </w:pPr>
    </w:p>
    <w:p w14:paraId="448813B2"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The employee is entitled to see (almost all of) his or her own personnel file.</w:t>
      </w:r>
    </w:p>
    <w:p w14:paraId="33687E83" w14:textId="77777777" w:rsidR="009675B9" w:rsidRPr="009675B9" w:rsidRDefault="009675B9" w:rsidP="009675B9">
      <w:pPr>
        <w:spacing w:after="0" w:line="240" w:lineRule="auto"/>
        <w:rPr>
          <w:rFonts w:ascii="Times New Roman" w:hAnsi="Times New Roman" w:cs="Times New Roman"/>
        </w:rPr>
      </w:pPr>
    </w:p>
    <w:p w14:paraId="4ACA422E" w14:textId="77777777" w:rsidR="009675B9" w:rsidRPr="009675B9" w:rsidRDefault="009675B9" w:rsidP="009675B9">
      <w:pPr>
        <w:spacing w:after="0" w:line="240" w:lineRule="auto"/>
        <w:ind w:left="1440"/>
        <w:rPr>
          <w:rFonts w:ascii="Times New Roman" w:hAnsi="Times New Roman" w:cs="Times New Roman"/>
        </w:rPr>
      </w:pPr>
      <w:r w:rsidRPr="009675B9">
        <w:rPr>
          <w:rFonts w:ascii="Times New Roman" w:hAnsi="Times New Roman" w:cs="Times New Roman"/>
        </w:rPr>
        <w:t>“The employee or his duly authorized agent may examine all portions of his personnel file except (i) letters of reference solicited prior to employment, and (ii) information concerning a medical disability, mental or physical, that a prudent physician would not divulge to his patient.”</w:t>
      </w:r>
    </w:p>
    <w:p w14:paraId="4C59A957" w14:textId="77777777" w:rsidR="009675B9" w:rsidRPr="009675B9" w:rsidRDefault="009675B9" w:rsidP="009675B9">
      <w:pPr>
        <w:spacing w:after="0" w:line="240" w:lineRule="auto"/>
        <w:rPr>
          <w:rFonts w:ascii="Times New Roman" w:hAnsi="Times New Roman" w:cs="Times New Roman"/>
        </w:rPr>
      </w:pPr>
    </w:p>
    <w:p w14:paraId="26C24526" w14:textId="77777777" w:rsidR="009675B9" w:rsidRPr="009675B9" w:rsidRDefault="009675B9" w:rsidP="009675B9">
      <w:pPr>
        <w:spacing w:after="0" w:line="240" w:lineRule="auto"/>
        <w:rPr>
          <w:rFonts w:ascii="Times New Roman" w:hAnsi="Times New Roman" w:cs="Times New Roman"/>
        </w:rPr>
      </w:pPr>
    </w:p>
    <w:p w14:paraId="05E394C8" w14:textId="77777777" w:rsidR="009675B9" w:rsidRPr="009675B9" w:rsidRDefault="009675B9" w:rsidP="009675B9">
      <w:pPr>
        <w:spacing w:after="0" w:line="240" w:lineRule="auto"/>
        <w:jc w:val="center"/>
        <w:rPr>
          <w:rFonts w:ascii="Times New Roman" w:hAnsi="Times New Roman" w:cs="Times New Roman"/>
        </w:rPr>
      </w:pPr>
      <w:r w:rsidRPr="009675B9">
        <w:rPr>
          <w:rFonts w:ascii="Times New Roman" w:hAnsi="Times New Roman" w:cs="Times New Roman"/>
        </w:rPr>
        <w:t>Six</w:t>
      </w:r>
    </w:p>
    <w:p w14:paraId="06CF6532" w14:textId="77777777" w:rsidR="009675B9" w:rsidRPr="009675B9" w:rsidRDefault="009675B9" w:rsidP="009675B9">
      <w:pPr>
        <w:spacing w:after="0" w:line="240" w:lineRule="auto"/>
        <w:rPr>
          <w:rFonts w:ascii="Times New Roman" w:hAnsi="Times New Roman" w:cs="Times New Roman"/>
        </w:rPr>
      </w:pPr>
    </w:p>
    <w:p w14:paraId="5D69ECE7"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Supervisors with active authority over employees are entitled to see those employees’ personnel files.</w:t>
      </w:r>
    </w:p>
    <w:p w14:paraId="43B24D88" w14:textId="77777777" w:rsidR="009675B9" w:rsidRPr="009675B9" w:rsidRDefault="009675B9" w:rsidP="009675B9">
      <w:pPr>
        <w:spacing w:after="0" w:line="240" w:lineRule="auto"/>
        <w:rPr>
          <w:rFonts w:ascii="Times New Roman" w:hAnsi="Times New Roman" w:cs="Times New Roman"/>
        </w:rPr>
      </w:pPr>
    </w:p>
    <w:p w14:paraId="2A553EA9" w14:textId="77777777" w:rsidR="009675B9" w:rsidRPr="009675B9" w:rsidRDefault="009675B9" w:rsidP="009675B9">
      <w:pPr>
        <w:spacing w:after="0" w:line="240" w:lineRule="auto"/>
        <w:rPr>
          <w:rFonts w:ascii="Times New Roman" w:hAnsi="Times New Roman" w:cs="Times New Roman"/>
        </w:rPr>
      </w:pPr>
    </w:p>
    <w:p w14:paraId="10899425" w14:textId="77777777" w:rsidR="009675B9" w:rsidRPr="009675B9" w:rsidRDefault="009675B9" w:rsidP="009675B9">
      <w:pPr>
        <w:spacing w:after="0" w:line="240" w:lineRule="auto"/>
        <w:jc w:val="center"/>
        <w:rPr>
          <w:rFonts w:ascii="Times New Roman" w:hAnsi="Times New Roman" w:cs="Times New Roman"/>
        </w:rPr>
      </w:pPr>
      <w:r w:rsidRPr="009675B9">
        <w:rPr>
          <w:rFonts w:ascii="Times New Roman" w:hAnsi="Times New Roman" w:cs="Times New Roman"/>
        </w:rPr>
        <w:t>Seven</w:t>
      </w:r>
    </w:p>
    <w:p w14:paraId="09050505" w14:textId="77777777" w:rsidR="009675B9" w:rsidRPr="009675B9" w:rsidRDefault="009675B9" w:rsidP="009675B9">
      <w:pPr>
        <w:spacing w:after="0" w:line="240" w:lineRule="auto"/>
        <w:rPr>
          <w:rFonts w:ascii="Times New Roman" w:hAnsi="Times New Roman" w:cs="Times New Roman"/>
        </w:rPr>
      </w:pPr>
    </w:p>
    <w:p w14:paraId="209E3F6D"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Other governmental officials may have access where access is “necessary and essential to the pursuance of a proper function” of that official.</w:t>
      </w:r>
    </w:p>
    <w:p w14:paraId="71F3EB52" w14:textId="77777777" w:rsidR="009675B9" w:rsidRPr="009675B9" w:rsidRDefault="009675B9" w:rsidP="009675B9">
      <w:pPr>
        <w:spacing w:after="0" w:line="240" w:lineRule="auto"/>
        <w:rPr>
          <w:rFonts w:ascii="Times New Roman" w:hAnsi="Times New Roman" w:cs="Times New Roman"/>
        </w:rPr>
      </w:pPr>
    </w:p>
    <w:p w14:paraId="3597A7DE" w14:textId="77777777" w:rsidR="009675B9" w:rsidRPr="009675B9" w:rsidRDefault="009675B9" w:rsidP="009675B9">
      <w:pPr>
        <w:spacing w:after="0" w:line="240" w:lineRule="auto"/>
        <w:rPr>
          <w:rFonts w:ascii="Times New Roman" w:hAnsi="Times New Roman" w:cs="Times New Roman"/>
        </w:rPr>
      </w:pPr>
    </w:p>
    <w:p w14:paraId="160FCBE3" w14:textId="77777777" w:rsidR="009675B9" w:rsidRPr="009675B9" w:rsidRDefault="009675B9" w:rsidP="009675B9">
      <w:pPr>
        <w:spacing w:after="0" w:line="240" w:lineRule="auto"/>
        <w:jc w:val="center"/>
        <w:rPr>
          <w:rFonts w:ascii="Times New Roman" w:hAnsi="Times New Roman" w:cs="Times New Roman"/>
        </w:rPr>
      </w:pPr>
      <w:r w:rsidRPr="009675B9">
        <w:rPr>
          <w:rFonts w:ascii="Times New Roman" w:hAnsi="Times New Roman" w:cs="Times New Roman"/>
        </w:rPr>
        <w:t>Eight</w:t>
      </w:r>
    </w:p>
    <w:p w14:paraId="770D8DF1" w14:textId="77777777" w:rsidR="009675B9" w:rsidRPr="009675B9" w:rsidRDefault="009675B9" w:rsidP="009675B9">
      <w:pPr>
        <w:spacing w:after="0" w:line="240" w:lineRule="auto"/>
        <w:rPr>
          <w:rFonts w:ascii="Times New Roman" w:hAnsi="Times New Roman" w:cs="Times New Roman"/>
        </w:rPr>
      </w:pPr>
    </w:p>
    <w:p w14:paraId="5E0B4585"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Files of applicants are confidential in their totality.</w:t>
      </w:r>
    </w:p>
    <w:p w14:paraId="7176D99A" w14:textId="77777777" w:rsidR="009675B9" w:rsidRPr="009675B9" w:rsidRDefault="009675B9" w:rsidP="009675B9">
      <w:pPr>
        <w:spacing w:after="0" w:line="240" w:lineRule="auto"/>
        <w:rPr>
          <w:rFonts w:ascii="Times New Roman" w:hAnsi="Times New Roman" w:cs="Times New Roman"/>
        </w:rPr>
      </w:pPr>
    </w:p>
    <w:p w14:paraId="7786E46D" w14:textId="77777777" w:rsidR="009675B9" w:rsidRPr="009675B9" w:rsidRDefault="009675B9" w:rsidP="009675B9">
      <w:pPr>
        <w:tabs>
          <w:tab w:val="left" w:pos="1296"/>
          <w:tab w:val="left" w:pos="2448"/>
          <w:tab w:val="left" w:pos="3600"/>
          <w:tab w:val="left" w:pos="4752"/>
          <w:tab w:val="left" w:pos="5904"/>
          <w:tab w:val="left" w:pos="7056"/>
          <w:tab w:val="left" w:pos="8208"/>
          <w:tab w:val="left" w:pos="9360"/>
          <w:tab w:val="left" w:pos="10512"/>
        </w:tabs>
        <w:suppressAutoHyphens/>
        <w:spacing w:after="0" w:line="240" w:lineRule="auto"/>
        <w:ind w:left="1296"/>
        <w:rPr>
          <w:rFonts w:ascii="Times New Roman" w:hAnsi="Times New Roman" w:cs="Times New Roman"/>
        </w:rPr>
      </w:pPr>
      <w:r w:rsidRPr="009675B9">
        <w:rPr>
          <w:rFonts w:ascii="Times New Roman" w:hAnsi="Times New Roman" w:cs="Times New Roman"/>
        </w:rPr>
        <w:t>In the early 1990s, the local newspaper wanted the names of all people being considered for the job of county manager in Yadkin County, North Carolina. The state supreme court held that the name of each candidate was part of the personnel file of that candidate because each candidate could be considered an “applicant for employment” and because the personnel records law governing county employees applied to applicants. But that statute went on to apply the portion authorizing public disclosure of name, salary, and so forth, only to “employees,” defined to include “former employees of the county” but not applicants. Because the privacy parts of the statute covered applicants, but the disclosure parts did not, the court held that no information at all could be released about candidates for the job of manager—or any other job.  Elkin Tribune, Inc., v. Yadkin County Bd. of County Comm’rs, 331 N.C. 735, 417 S.E.2d 465 (1992)</w:t>
      </w:r>
    </w:p>
    <w:p w14:paraId="0CF610A1" w14:textId="77777777" w:rsidR="009675B9" w:rsidRPr="009675B9" w:rsidRDefault="009675B9" w:rsidP="009675B9">
      <w:pPr>
        <w:spacing w:after="0" w:line="240" w:lineRule="auto"/>
        <w:rPr>
          <w:rFonts w:ascii="Times New Roman" w:hAnsi="Times New Roman" w:cs="Times New Roman"/>
        </w:rPr>
      </w:pPr>
    </w:p>
    <w:p w14:paraId="56E89AAC" w14:textId="77777777" w:rsidR="009675B9" w:rsidRPr="009675B9" w:rsidRDefault="009675B9" w:rsidP="009675B9">
      <w:pPr>
        <w:spacing w:after="0" w:line="240" w:lineRule="auto"/>
        <w:rPr>
          <w:rFonts w:ascii="Times New Roman" w:hAnsi="Times New Roman" w:cs="Times New Roman"/>
        </w:rPr>
      </w:pPr>
    </w:p>
    <w:p w14:paraId="34829C71" w14:textId="77777777" w:rsidR="009675B9" w:rsidRPr="009675B9" w:rsidRDefault="009675B9" w:rsidP="009675B9">
      <w:pPr>
        <w:spacing w:after="0" w:line="240" w:lineRule="auto"/>
        <w:jc w:val="center"/>
        <w:rPr>
          <w:rFonts w:ascii="Times New Roman" w:hAnsi="Times New Roman" w:cs="Times New Roman"/>
        </w:rPr>
      </w:pPr>
      <w:r w:rsidRPr="009675B9">
        <w:rPr>
          <w:rFonts w:ascii="Times New Roman" w:hAnsi="Times New Roman" w:cs="Times New Roman"/>
        </w:rPr>
        <w:t>Nine</w:t>
      </w:r>
    </w:p>
    <w:p w14:paraId="11B85A5E" w14:textId="77777777" w:rsidR="009675B9" w:rsidRPr="009675B9" w:rsidRDefault="009675B9" w:rsidP="009675B9">
      <w:pPr>
        <w:spacing w:after="0" w:line="240" w:lineRule="auto"/>
        <w:rPr>
          <w:rFonts w:ascii="Times New Roman" w:hAnsi="Times New Roman" w:cs="Times New Roman"/>
        </w:rPr>
      </w:pPr>
    </w:p>
    <w:p w14:paraId="686F8E47"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In special circumstances, confidential personnel information may be disclosed.</w:t>
      </w:r>
    </w:p>
    <w:p w14:paraId="1AB23A99" w14:textId="77777777" w:rsidR="009675B9" w:rsidRPr="009675B9" w:rsidRDefault="009675B9" w:rsidP="009675B9">
      <w:pPr>
        <w:spacing w:after="0" w:line="240" w:lineRule="auto"/>
        <w:rPr>
          <w:rFonts w:ascii="Times New Roman" w:hAnsi="Times New Roman" w:cs="Times New Roman"/>
        </w:rPr>
      </w:pPr>
    </w:p>
    <w:p w14:paraId="427EBC46" w14:textId="77777777" w:rsidR="009675B9" w:rsidRPr="009675B9" w:rsidRDefault="009675B9" w:rsidP="009675B9">
      <w:pPr>
        <w:spacing w:after="0" w:line="240" w:lineRule="auto"/>
        <w:ind w:left="1440"/>
        <w:rPr>
          <w:rFonts w:ascii="Times New Roman" w:hAnsi="Times New Roman" w:cs="Times New Roman"/>
        </w:rPr>
      </w:pPr>
      <w:r w:rsidRPr="009675B9">
        <w:rPr>
          <w:rFonts w:ascii="Times New Roman" w:hAnsi="Times New Roman" w:cs="Times New Roman"/>
        </w:rPr>
        <w:t>“The city manager, with concurrence of the council, or, in cities not having a manager, the council may inform any person of the employment or nonemployment, promotion, demotion, suspension or other disciplinary action, reinstatement, transfer, or termination of a city employee and the reasons for that personnel action. Before releasing the information, the manager or council shall determine in writing that the release is essential to maintaining public confidence in the administration of city services or to maintaining the level and quality of city services. This written determination shall be retained in the office of the manager or the city clerk, and is a record available for public inspection and shall become part of the employee's personnel file.”</w:t>
      </w:r>
    </w:p>
    <w:p w14:paraId="1309A838" w14:textId="77777777" w:rsidR="009675B9" w:rsidRPr="009675B9" w:rsidRDefault="009675B9" w:rsidP="009675B9">
      <w:pPr>
        <w:spacing w:after="0" w:line="240" w:lineRule="auto"/>
        <w:rPr>
          <w:rFonts w:ascii="Times New Roman" w:hAnsi="Times New Roman" w:cs="Times New Roman"/>
        </w:rPr>
      </w:pPr>
    </w:p>
    <w:p w14:paraId="74871733" w14:textId="77777777" w:rsidR="009675B9" w:rsidRPr="009675B9" w:rsidRDefault="009675B9" w:rsidP="009675B9">
      <w:pPr>
        <w:spacing w:after="0" w:line="240" w:lineRule="auto"/>
        <w:rPr>
          <w:rFonts w:ascii="Times New Roman" w:hAnsi="Times New Roman" w:cs="Times New Roman"/>
        </w:rPr>
      </w:pPr>
    </w:p>
    <w:p w14:paraId="7D91FBD4" w14:textId="77777777" w:rsidR="009675B9" w:rsidRPr="009675B9" w:rsidRDefault="009675B9" w:rsidP="009675B9">
      <w:pPr>
        <w:spacing w:after="0" w:line="240" w:lineRule="auto"/>
        <w:jc w:val="center"/>
        <w:rPr>
          <w:rFonts w:ascii="Times New Roman" w:hAnsi="Times New Roman" w:cs="Times New Roman"/>
        </w:rPr>
      </w:pPr>
      <w:r w:rsidRPr="009675B9">
        <w:rPr>
          <w:rFonts w:ascii="Times New Roman" w:hAnsi="Times New Roman" w:cs="Times New Roman"/>
        </w:rPr>
        <w:t>Ten</w:t>
      </w:r>
    </w:p>
    <w:p w14:paraId="64770167" w14:textId="77777777" w:rsidR="009675B9" w:rsidRPr="009675B9" w:rsidRDefault="009675B9" w:rsidP="009675B9">
      <w:pPr>
        <w:spacing w:after="0" w:line="240" w:lineRule="auto"/>
        <w:rPr>
          <w:rFonts w:ascii="Times New Roman" w:hAnsi="Times New Roman" w:cs="Times New Roman"/>
        </w:rPr>
      </w:pPr>
    </w:p>
    <w:p w14:paraId="447DC354" w14:textId="77777777" w:rsidR="009675B9" w:rsidRPr="009675B9" w:rsidRDefault="009675B9" w:rsidP="009675B9">
      <w:pPr>
        <w:spacing w:after="0" w:line="240" w:lineRule="auto"/>
        <w:rPr>
          <w:rFonts w:ascii="Times New Roman" w:hAnsi="Times New Roman" w:cs="Times New Roman"/>
        </w:rPr>
      </w:pPr>
      <w:r w:rsidRPr="009675B9">
        <w:rPr>
          <w:rFonts w:ascii="Times New Roman" w:hAnsi="Times New Roman" w:cs="Times New Roman"/>
        </w:rPr>
        <w:t>Say this:  “The law prohibits me from disclosing the information you have requested.”  Don’t say:  I can’t talk about that because it’s a personnel matter.”</w:t>
      </w:r>
    </w:p>
    <w:p w14:paraId="27BB5179" w14:textId="77777777" w:rsidR="009675B9" w:rsidRPr="009675B9" w:rsidRDefault="009675B9" w:rsidP="009675B9">
      <w:pPr>
        <w:spacing w:after="0" w:line="240" w:lineRule="auto"/>
        <w:rPr>
          <w:rFonts w:ascii="Times New Roman" w:hAnsi="Times New Roman" w:cs="Times New Roman"/>
        </w:rPr>
      </w:pPr>
    </w:p>
    <w:p w14:paraId="58314E45" w14:textId="77777777" w:rsidR="009675B9" w:rsidRDefault="009675B9" w:rsidP="009675B9">
      <w:pPr>
        <w:spacing w:after="0" w:line="240" w:lineRule="auto"/>
        <w:ind w:firstLine="720"/>
        <w:rPr>
          <w:rFonts w:ascii="Times New Roman" w:hAnsi="Times New Roman" w:cs="Times New Roman"/>
        </w:rPr>
      </w:pPr>
    </w:p>
    <w:p w14:paraId="5F0B7936" w14:textId="77777777" w:rsidR="009675B9" w:rsidRPr="009675B9" w:rsidRDefault="009675B9" w:rsidP="009675B9">
      <w:pPr>
        <w:spacing w:after="0" w:line="240" w:lineRule="auto"/>
        <w:ind w:firstLine="720"/>
        <w:rPr>
          <w:rFonts w:ascii="Times New Roman" w:hAnsi="Times New Roman" w:cs="Times New Roman"/>
        </w:rPr>
      </w:pPr>
    </w:p>
    <w:p w14:paraId="2A7B6EE7" w14:textId="77777777" w:rsidR="00F243FC" w:rsidRPr="00F243FC" w:rsidRDefault="00F243FC" w:rsidP="00F243FC">
      <w:pPr>
        <w:spacing w:after="0" w:line="240" w:lineRule="auto"/>
        <w:jc w:val="center"/>
        <w:rPr>
          <w:rFonts w:ascii="Times New Roman" w:hAnsi="Times New Roman" w:cs="Times New Roman"/>
          <w:b/>
          <w:bCs/>
          <w:sz w:val="44"/>
          <w:szCs w:val="44"/>
        </w:rPr>
      </w:pPr>
      <w:r w:rsidRPr="00F243FC">
        <w:rPr>
          <w:rFonts w:ascii="Times New Roman" w:hAnsi="Times New Roman" w:cs="Times New Roman"/>
          <w:b/>
          <w:bCs/>
          <w:sz w:val="44"/>
          <w:szCs w:val="44"/>
        </w:rPr>
        <w:lastRenderedPageBreak/>
        <w:t>Links to Useful Coates Canons Blog Posts</w:t>
      </w:r>
    </w:p>
    <w:p w14:paraId="5C5A660A" w14:textId="77777777" w:rsidR="00F243FC" w:rsidRPr="00F243FC" w:rsidRDefault="00F243FC" w:rsidP="00F243FC">
      <w:pPr>
        <w:spacing w:after="0" w:line="240" w:lineRule="auto"/>
        <w:rPr>
          <w:rFonts w:ascii="Times New Roman" w:hAnsi="Times New Roman" w:cs="Times New Roman"/>
        </w:rPr>
      </w:pPr>
    </w:p>
    <w:p w14:paraId="13096A79" w14:textId="77777777" w:rsidR="00F243FC" w:rsidRPr="00F243FC" w:rsidRDefault="00F243FC" w:rsidP="00F243FC">
      <w:pPr>
        <w:spacing w:after="0" w:line="240" w:lineRule="auto"/>
        <w:rPr>
          <w:rFonts w:ascii="Times New Roman" w:hAnsi="Times New Roman" w:cs="Times New Roman"/>
        </w:rPr>
      </w:pPr>
    </w:p>
    <w:p w14:paraId="6B465974" w14:textId="77777777" w:rsidR="00F243FC" w:rsidRPr="00F243FC" w:rsidRDefault="00F243FC" w:rsidP="00F243FC">
      <w:pPr>
        <w:spacing w:after="0" w:line="240" w:lineRule="auto"/>
        <w:rPr>
          <w:rFonts w:ascii="Times New Roman" w:hAnsi="Times New Roman" w:cs="Times New Roman"/>
        </w:rPr>
      </w:pPr>
    </w:p>
    <w:p w14:paraId="04E2AB82" w14:textId="77777777" w:rsidR="00F243FC" w:rsidRPr="00F243FC" w:rsidRDefault="00F243FC" w:rsidP="00F243FC">
      <w:pPr>
        <w:spacing w:after="0" w:line="240" w:lineRule="auto"/>
        <w:rPr>
          <w:rFonts w:ascii="Times New Roman" w:hAnsi="Times New Roman" w:cs="Times New Roman"/>
        </w:rPr>
      </w:pPr>
      <w:r w:rsidRPr="00F243FC">
        <w:rPr>
          <w:rFonts w:ascii="Times New Roman" w:hAnsi="Times New Roman" w:cs="Times New Roman"/>
        </w:rPr>
        <w:t>Hey, Job Applicant: Have You Ever Been Arrested or Convicted?</w:t>
      </w:r>
    </w:p>
    <w:p w14:paraId="06DA5127" w14:textId="77777777" w:rsidR="00F243FC" w:rsidRPr="00F243FC" w:rsidRDefault="00F243FC" w:rsidP="00F243FC">
      <w:pPr>
        <w:spacing w:after="0" w:line="240" w:lineRule="auto"/>
        <w:rPr>
          <w:rFonts w:ascii="Times New Roman" w:hAnsi="Times New Roman" w:cs="Times New Roman"/>
        </w:rPr>
      </w:pPr>
      <w:hyperlink r:id="rId17" w:history="1">
        <w:r w:rsidRPr="00F243FC">
          <w:rPr>
            <w:rStyle w:val="Hyperlink"/>
            <w:rFonts w:ascii="Times New Roman" w:hAnsi="Times New Roman" w:cs="Times New Roman"/>
          </w:rPr>
          <w:t>https://canons.sog.unc.edu/blog/2013/02/05/hey-job-applicant-have-you-ever-been-arrested-or-convicted/</w:t>
        </w:r>
      </w:hyperlink>
    </w:p>
    <w:p w14:paraId="0067FE1E" w14:textId="77777777" w:rsidR="00F243FC" w:rsidRPr="00F243FC" w:rsidRDefault="00F243FC" w:rsidP="00F243FC">
      <w:pPr>
        <w:spacing w:after="0" w:line="240" w:lineRule="auto"/>
        <w:rPr>
          <w:rFonts w:ascii="Times New Roman" w:hAnsi="Times New Roman" w:cs="Times New Roman"/>
        </w:rPr>
      </w:pPr>
    </w:p>
    <w:p w14:paraId="308C7A2C" w14:textId="77777777" w:rsidR="00F243FC" w:rsidRPr="00F243FC" w:rsidRDefault="00F243FC" w:rsidP="00F243FC">
      <w:pPr>
        <w:spacing w:after="0" w:line="240" w:lineRule="auto"/>
        <w:rPr>
          <w:rFonts w:ascii="Times New Roman" w:hAnsi="Times New Roman" w:cs="Times New Roman"/>
        </w:rPr>
      </w:pPr>
      <w:r w:rsidRPr="00F243FC">
        <w:rPr>
          <w:rFonts w:ascii="Times New Roman" w:hAnsi="Times New Roman" w:cs="Times New Roman"/>
        </w:rPr>
        <w:t>Questioning an Employee about Possibly Criminal Conduct</w:t>
      </w:r>
    </w:p>
    <w:p w14:paraId="1837C972" w14:textId="77777777" w:rsidR="00F243FC" w:rsidRPr="00F243FC" w:rsidRDefault="00F243FC" w:rsidP="00F243FC">
      <w:pPr>
        <w:spacing w:after="0" w:line="240" w:lineRule="auto"/>
        <w:rPr>
          <w:rFonts w:ascii="Times New Roman" w:hAnsi="Times New Roman" w:cs="Times New Roman"/>
        </w:rPr>
      </w:pPr>
      <w:r w:rsidRPr="00F243FC">
        <w:rPr>
          <w:rFonts w:ascii="Times New Roman" w:hAnsi="Times New Roman" w:cs="Times New Roman"/>
        </w:rPr>
        <w:t>https://canons.sog.unc.edu/blog/2012/12/04/questioning-an-employee-about-possibly-criminal-conduct/</w:t>
      </w:r>
    </w:p>
    <w:p w14:paraId="2F37EC03" w14:textId="77777777" w:rsidR="00F243FC" w:rsidRPr="00F243FC" w:rsidRDefault="00F243FC" w:rsidP="00F243FC">
      <w:pPr>
        <w:spacing w:after="0" w:line="240" w:lineRule="auto"/>
        <w:rPr>
          <w:rFonts w:ascii="Times New Roman" w:hAnsi="Times New Roman" w:cs="Times New Roman"/>
        </w:rPr>
      </w:pPr>
    </w:p>
    <w:p w14:paraId="0F660184" w14:textId="77777777" w:rsidR="00F243FC" w:rsidRPr="00F243FC" w:rsidRDefault="00F243FC" w:rsidP="00F243FC">
      <w:pPr>
        <w:spacing w:after="0" w:line="240" w:lineRule="auto"/>
        <w:rPr>
          <w:rFonts w:ascii="Times New Roman" w:hAnsi="Times New Roman" w:cs="Times New Roman"/>
        </w:rPr>
      </w:pPr>
      <w:r w:rsidRPr="00F243FC">
        <w:rPr>
          <w:rFonts w:ascii="Times New Roman" w:hAnsi="Times New Roman" w:cs="Times New Roman"/>
        </w:rPr>
        <w:t>Confidentiality of Applicants’ Names</w:t>
      </w:r>
    </w:p>
    <w:p w14:paraId="5754D0EF" w14:textId="77777777" w:rsidR="00F243FC" w:rsidRPr="00F243FC" w:rsidRDefault="00F243FC" w:rsidP="00F243FC">
      <w:pPr>
        <w:spacing w:after="0" w:line="240" w:lineRule="auto"/>
        <w:rPr>
          <w:rFonts w:ascii="Times New Roman" w:hAnsi="Times New Roman" w:cs="Times New Roman"/>
        </w:rPr>
      </w:pPr>
      <w:hyperlink r:id="rId18" w:history="1">
        <w:r w:rsidRPr="00F243FC">
          <w:rPr>
            <w:rStyle w:val="Hyperlink"/>
            <w:rFonts w:ascii="Times New Roman" w:hAnsi="Times New Roman" w:cs="Times New Roman"/>
          </w:rPr>
          <w:t>https://canons.sog.unc.edu/blog/2012/10/02/confidentiality-of-applicants-names/</w:t>
        </w:r>
      </w:hyperlink>
    </w:p>
    <w:p w14:paraId="6BE05290" w14:textId="77777777" w:rsidR="00F243FC" w:rsidRPr="00F243FC" w:rsidRDefault="00F243FC" w:rsidP="00F243FC">
      <w:pPr>
        <w:spacing w:after="0" w:line="240" w:lineRule="auto"/>
        <w:rPr>
          <w:rFonts w:ascii="Times New Roman" w:hAnsi="Times New Roman" w:cs="Times New Roman"/>
        </w:rPr>
      </w:pPr>
    </w:p>
    <w:p w14:paraId="17CC542D" w14:textId="77777777" w:rsidR="00F243FC" w:rsidRPr="00F243FC" w:rsidRDefault="00F243FC" w:rsidP="00F243FC">
      <w:pPr>
        <w:spacing w:after="0" w:line="240" w:lineRule="auto"/>
        <w:rPr>
          <w:rFonts w:ascii="Times New Roman" w:hAnsi="Times New Roman" w:cs="Times New Roman"/>
        </w:rPr>
      </w:pPr>
      <w:r w:rsidRPr="00F243FC">
        <w:rPr>
          <w:rFonts w:ascii="Times New Roman" w:hAnsi="Times New Roman" w:cs="Times New Roman"/>
        </w:rPr>
        <w:t>The First Amendment and Facebook Rants: A Case Example</w:t>
      </w:r>
    </w:p>
    <w:p w14:paraId="14C6118D" w14:textId="77777777" w:rsidR="00F243FC" w:rsidRPr="00F243FC" w:rsidRDefault="00F243FC" w:rsidP="00F243FC">
      <w:pPr>
        <w:spacing w:after="0" w:line="240" w:lineRule="auto"/>
        <w:rPr>
          <w:rFonts w:ascii="Times New Roman" w:hAnsi="Times New Roman" w:cs="Times New Roman"/>
        </w:rPr>
      </w:pPr>
      <w:hyperlink r:id="rId19" w:history="1">
        <w:r w:rsidRPr="00F243FC">
          <w:rPr>
            <w:rStyle w:val="Hyperlink"/>
            <w:rFonts w:ascii="Times New Roman" w:hAnsi="Times New Roman" w:cs="Times New Roman"/>
          </w:rPr>
          <w:t>https://canons.sog.unc.edu/blog/2011/08/02/the-first-amendment-and-facebook-rants-a-case-example/</w:t>
        </w:r>
      </w:hyperlink>
    </w:p>
    <w:p w14:paraId="0D9C017A" w14:textId="77777777" w:rsidR="00F243FC" w:rsidRPr="00F243FC" w:rsidRDefault="00F243FC" w:rsidP="00F243FC">
      <w:pPr>
        <w:spacing w:after="0" w:line="240" w:lineRule="auto"/>
        <w:rPr>
          <w:rFonts w:ascii="Times New Roman" w:hAnsi="Times New Roman" w:cs="Times New Roman"/>
        </w:rPr>
      </w:pPr>
    </w:p>
    <w:p w14:paraId="34F16217" w14:textId="77777777" w:rsidR="00F243FC" w:rsidRPr="00F243FC" w:rsidRDefault="00F243FC" w:rsidP="00F243FC">
      <w:pPr>
        <w:spacing w:after="0" w:line="240" w:lineRule="auto"/>
        <w:rPr>
          <w:rFonts w:ascii="Times New Roman" w:hAnsi="Times New Roman" w:cs="Times New Roman"/>
        </w:rPr>
      </w:pPr>
      <w:r w:rsidRPr="00F243FC">
        <w:rPr>
          <w:rFonts w:ascii="Times New Roman" w:hAnsi="Times New Roman" w:cs="Times New Roman"/>
        </w:rPr>
        <w:t>Small Towns and the FMLA</w:t>
      </w:r>
    </w:p>
    <w:p w14:paraId="2B4CCBBF" w14:textId="77777777" w:rsidR="00F243FC" w:rsidRPr="00F243FC" w:rsidRDefault="00F243FC" w:rsidP="00F243FC">
      <w:pPr>
        <w:spacing w:after="0" w:line="240" w:lineRule="auto"/>
        <w:rPr>
          <w:rFonts w:ascii="Times New Roman" w:hAnsi="Times New Roman" w:cs="Times New Roman"/>
        </w:rPr>
      </w:pPr>
      <w:hyperlink r:id="rId20" w:history="1">
        <w:r w:rsidRPr="00F243FC">
          <w:rPr>
            <w:rStyle w:val="Hyperlink"/>
            <w:rFonts w:ascii="Times New Roman" w:hAnsi="Times New Roman" w:cs="Times New Roman"/>
          </w:rPr>
          <w:t>https://canons.sog.unc.edu/blog/2011/07/05/small-towns-and-the-fmla/</w:t>
        </w:r>
      </w:hyperlink>
    </w:p>
    <w:p w14:paraId="3C312B7D" w14:textId="77777777" w:rsidR="00F243FC" w:rsidRPr="00F243FC" w:rsidRDefault="00F243FC" w:rsidP="00F243FC">
      <w:pPr>
        <w:spacing w:after="0" w:line="240" w:lineRule="auto"/>
        <w:rPr>
          <w:rFonts w:ascii="Times New Roman" w:hAnsi="Times New Roman" w:cs="Times New Roman"/>
        </w:rPr>
      </w:pPr>
    </w:p>
    <w:p w14:paraId="455E30BA" w14:textId="77777777" w:rsidR="00F243FC" w:rsidRPr="00F243FC" w:rsidRDefault="00F243FC" w:rsidP="00F243FC">
      <w:pPr>
        <w:spacing w:after="0" w:line="240" w:lineRule="auto"/>
        <w:rPr>
          <w:rFonts w:ascii="Times New Roman" w:hAnsi="Times New Roman" w:cs="Times New Roman"/>
        </w:rPr>
      </w:pPr>
      <w:r w:rsidRPr="00F243FC">
        <w:rPr>
          <w:rFonts w:ascii="Times New Roman" w:hAnsi="Times New Roman" w:cs="Times New Roman"/>
        </w:rPr>
        <w:t>Understanding the Limitations of North Carolina’s Whistleblower Protection Act</w:t>
      </w:r>
    </w:p>
    <w:p w14:paraId="49803300" w14:textId="77777777" w:rsidR="00F243FC" w:rsidRPr="00F243FC" w:rsidRDefault="00F243FC" w:rsidP="00F243FC">
      <w:pPr>
        <w:spacing w:after="0" w:line="240" w:lineRule="auto"/>
        <w:rPr>
          <w:rFonts w:ascii="Times New Roman" w:hAnsi="Times New Roman" w:cs="Times New Roman"/>
        </w:rPr>
      </w:pPr>
      <w:hyperlink r:id="rId21" w:history="1">
        <w:r w:rsidRPr="00F243FC">
          <w:rPr>
            <w:rStyle w:val="Hyperlink"/>
            <w:rFonts w:ascii="Times New Roman" w:hAnsi="Times New Roman" w:cs="Times New Roman"/>
          </w:rPr>
          <w:t>https://canons.sog.unc.edu/blog/2010/07/08/understanding-the-limitations-of-north-carolinas-whistleblower-protection-act/</w:t>
        </w:r>
      </w:hyperlink>
    </w:p>
    <w:p w14:paraId="56316243" w14:textId="77777777" w:rsidR="00F243FC" w:rsidRPr="00F243FC" w:rsidRDefault="00F243FC" w:rsidP="00F243FC">
      <w:pPr>
        <w:spacing w:after="0" w:line="240" w:lineRule="auto"/>
        <w:rPr>
          <w:rFonts w:ascii="Times New Roman" w:hAnsi="Times New Roman" w:cs="Times New Roman"/>
        </w:rPr>
      </w:pPr>
    </w:p>
    <w:p w14:paraId="3F938752" w14:textId="77777777" w:rsidR="00F243FC" w:rsidRPr="00F243FC" w:rsidRDefault="00F243FC" w:rsidP="00F243FC">
      <w:pPr>
        <w:spacing w:after="0" w:line="240" w:lineRule="auto"/>
        <w:rPr>
          <w:rFonts w:ascii="Times New Roman" w:hAnsi="Times New Roman" w:cs="Times New Roman"/>
        </w:rPr>
      </w:pPr>
      <w:r w:rsidRPr="00F243FC">
        <w:rPr>
          <w:rFonts w:ascii="Times New Roman" w:hAnsi="Times New Roman" w:cs="Times New Roman"/>
        </w:rPr>
        <w:t>North Carolina Court of Appeals Strikes Down School Board’s Random Drug-Testing Program</w:t>
      </w:r>
    </w:p>
    <w:p w14:paraId="19BB2C9C" w14:textId="77777777" w:rsidR="00F243FC" w:rsidRPr="00F243FC" w:rsidRDefault="00F243FC" w:rsidP="00F243FC">
      <w:pPr>
        <w:spacing w:after="0" w:line="240" w:lineRule="auto"/>
        <w:rPr>
          <w:rFonts w:ascii="Times New Roman" w:hAnsi="Times New Roman" w:cs="Times New Roman"/>
        </w:rPr>
      </w:pPr>
      <w:hyperlink r:id="rId22" w:history="1">
        <w:r w:rsidRPr="00F243FC">
          <w:rPr>
            <w:rStyle w:val="Hyperlink"/>
            <w:rFonts w:ascii="Times New Roman" w:hAnsi="Times New Roman" w:cs="Times New Roman"/>
          </w:rPr>
          <w:t>https://canons.sog.unc.edu/blog/2009/12/02/north-carolina-court-of-appeals-strikes-down-school-boards-random-drug-teesting-program/</w:t>
        </w:r>
      </w:hyperlink>
    </w:p>
    <w:p w14:paraId="3CAB0BA7" w14:textId="77777777" w:rsidR="00F243FC" w:rsidRPr="00F243FC" w:rsidRDefault="00F243FC" w:rsidP="00F243FC">
      <w:pPr>
        <w:spacing w:after="0" w:line="240" w:lineRule="auto"/>
        <w:rPr>
          <w:rFonts w:ascii="Times New Roman" w:hAnsi="Times New Roman" w:cs="Times New Roman"/>
        </w:rPr>
      </w:pPr>
    </w:p>
    <w:p w14:paraId="08EADB3D" w14:textId="77777777" w:rsidR="00F243FC" w:rsidRPr="00F243FC" w:rsidRDefault="00F243FC" w:rsidP="00F243FC">
      <w:pPr>
        <w:spacing w:after="0" w:line="240" w:lineRule="auto"/>
        <w:rPr>
          <w:rFonts w:ascii="Times New Roman" w:hAnsi="Times New Roman" w:cs="Times New Roman"/>
        </w:rPr>
      </w:pPr>
      <w:r w:rsidRPr="00F243FC">
        <w:rPr>
          <w:rFonts w:ascii="Times New Roman" w:hAnsi="Times New Roman" w:cs="Times New Roman"/>
        </w:rPr>
        <w:t>Public Employers Beware New Rule: Violate a Policy, Your Employee May Sue You</w:t>
      </w:r>
    </w:p>
    <w:p w14:paraId="34E97745" w14:textId="77777777" w:rsidR="00F243FC" w:rsidRPr="00F243FC" w:rsidRDefault="00F243FC" w:rsidP="00F243FC">
      <w:pPr>
        <w:spacing w:after="0" w:line="240" w:lineRule="auto"/>
        <w:rPr>
          <w:rFonts w:ascii="Times New Roman" w:hAnsi="Times New Roman" w:cs="Times New Roman"/>
        </w:rPr>
      </w:pPr>
      <w:hyperlink r:id="rId23" w:history="1">
        <w:r w:rsidRPr="00F243FC">
          <w:rPr>
            <w:rStyle w:val="Hyperlink"/>
            <w:rFonts w:ascii="Times New Roman" w:hAnsi="Times New Roman" w:cs="Times New Roman"/>
          </w:rPr>
          <w:t>https://canons.sog.unc.edu/blog/2018/06/12/public-employers-beware-new-rule-violate-a-policy-your-employee-may-sue-you-2/</w:t>
        </w:r>
      </w:hyperlink>
    </w:p>
    <w:p w14:paraId="7B91702C" w14:textId="77777777" w:rsidR="00F243FC" w:rsidRPr="00F243FC" w:rsidRDefault="00F243FC" w:rsidP="00F243FC">
      <w:pPr>
        <w:spacing w:after="0" w:line="240" w:lineRule="auto"/>
        <w:rPr>
          <w:rFonts w:ascii="Times New Roman" w:hAnsi="Times New Roman" w:cs="Times New Roman"/>
        </w:rPr>
      </w:pPr>
    </w:p>
    <w:p w14:paraId="15894D96" w14:textId="77777777" w:rsidR="00F243FC" w:rsidRPr="00F243FC" w:rsidRDefault="00F243FC" w:rsidP="00F243FC">
      <w:pPr>
        <w:spacing w:after="0" w:line="240" w:lineRule="auto"/>
        <w:rPr>
          <w:rFonts w:ascii="Times New Roman" w:hAnsi="Times New Roman" w:cs="Times New Roman"/>
        </w:rPr>
      </w:pPr>
      <w:r w:rsidRPr="00F243FC">
        <w:rPr>
          <w:rFonts w:ascii="Times New Roman" w:hAnsi="Times New Roman" w:cs="Times New Roman"/>
        </w:rPr>
        <w:t>When an Employee Wants to Record a Meeting with a Supervisor</w:t>
      </w:r>
    </w:p>
    <w:p w14:paraId="4F7221DF" w14:textId="77777777" w:rsidR="00F243FC" w:rsidRPr="00F243FC" w:rsidRDefault="00F243FC" w:rsidP="00F243FC">
      <w:pPr>
        <w:spacing w:after="0" w:line="240" w:lineRule="auto"/>
        <w:rPr>
          <w:rFonts w:ascii="Times New Roman" w:hAnsi="Times New Roman" w:cs="Times New Roman"/>
        </w:rPr>
      </w:pPr>
      <w:hyperlink r:id="rId24" w:history="1">
        <w:r w:rsidRPr="00F243FC">
          <w:rPr>
            <w:rStyle w:val="Hyperlink"/>
            <w:rFonts w:ascii="Times New Roman" w:hAnsi="Times New Roman" w:cs="Times New Roman"/>
          </w:rPr>
          <w:t>https://canons.sog.unc.edu/blog/2013/05/07/when-an-employee-wants-to-record-a-meeting-with-a-supervisor/</w:t>
        </w:r>
      </w:hyperlink>
    </w:p>
    <w:p w14:paraId="688A528F" w14:textId="77777777" w:rsidR="00F243FC" w:rsidRPr="00F243FC" w:rsidRDefault="00F243FC" w:rsidP="00F243FC">
      <w:pPr>
        <w:spacing w:after="0" w:line="240" w:lineRule="auto"/>
        <w:rPr>
          <w:rFonts w:ascii="Times New Roman" w:hAnsi="Times New Roman" w:cs="Times New Roman"/>
        </w:rPr>
      </w:pPr>
    </w:p>
    <w:p w14:paraId="1D8E1D08" w14:textId="77777777" w:rsidR="00F243FC" w:rsidRPr="00F243FC" w:rsidRDefault="00F243FC" w:rsidP="00F243FC">
      <w:pPr>
        <w:spacing w:after="0" w:line="240" w:lineRule="auto"/>
        <w:rPr>
          <w:rFonts w:ascii="Times New Roman" w:hAnsi="Times New Roman" w:cs="Times New Roman"/>
        </w:rPr>
      </w:pPr>
    </w:p>
    <w:p w14:paraId="2CE4E197" w14:textId="77777777" w:rsidR="009675B9" w:rsidRPr="0037598A" w:rsidRDefault="009675B9" w:rsidP="0037598A">
      <w:pPr>
        <w:spacing w:after="0" w:line="240" w:lineRule="auto"/>
        <w:rPr>
          <w:rFonts w:ascii="Times New Roman" w:hAnsi="Times New Roman" w:cs="Times New Roman"/>
        </w:rPr>
      </w:pPr>
    </w:p>
    <w:sectPr w:rsidR="009675B9" w:rsidRPr="0037598A" w:rsidSect="00FF57FD">
      <w:footerReference w:type="defaul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96FC6" w14:textId="77777777" w:rsidR="00D93BED" w:rsidRDefault="00D93BED" w:rsidP="009675B9">
      <w:pPr>
        <w:spacing w:after="0" w:line="240" w:lineRule="auto"/>
      </w:pPr>
      <w:r>
        <w:separator/>
      </w:r>
    </w:p>
  </w:endnote>
  <w:endnote w:type="continuationSeparator" w:id="0">
    <w:p w14:paraId="66BD5F76" w14:textId="77777777" w:rsidR="00D93BED" w:rsidRDefault="00D93BED" w:rsidP="00967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195907"/>
      <w:docPartObj>
        <w:docPartGallery w:val="Page Numbers (Bottom of Page)"/>
        <w:docPartUnique/>
      </w:docPartObj>
    </w:sdtPr>
    <w:sdtEndPr>
      <w:rPr>
        <w:noProof/>
      </w:rPr>
    </w:sdtEndPr>
    <w:sdtContent>
      <w:p w14:paraId="7E39B230" w14:textId="68E262F9" w:rsidR="00FF57FD" w:rsidRDefault="00FF57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8BF9E7" w14:textId="77777777" w:rsidR="00FF57FD" w:rsidRDefault="00FF5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47026" w14:textId="77777777" w:rsidR="00D93BED" w:rsidRDefault="00D93BED" w:rsidP="009675B9">
      <w:pPr>
        <w:spacing w:after="0" w:line="240" w:lineRule="auto"/>
      </w:pPr>
      <w:r>
        <w:separator/>
      </w:r>
    </w:p>
  </w:footnote>
  <w:footnote w:type="continuationSeparator" w:id="0">
    <w:p w14:paraId="11906231" w14:textId="77777777" w:rsidR="00D93BED" w:rsidRDefault="00D93BED" w:rsidP="009675B9">
      <w:pPr>
        <w:spacing w:after="0" w:line="240" w:lineRule="auto"/>
      </w:pPr>
      <w:r>
        <w:continuationSeparator/>
      </w:r>
    </w:p>
  </w:footnote>
  <w:footnote w:id="1">
    <w:p w14:paraId="0F40B4E1" w14:textId="77777777" w:rsidR="00FF57FD" w:rsidRDefault="00FF57FD" w:rsidP="00FF57FD">
      <w:pPr>
        <w:pStyle w:val="FootnoteText"/>
      </w:pPr>
      <w:r>
        <w:rPr>
          <w:rStyle w:val="FootnoteReference"/>
        </w:rPr>
        <w:footnoteRef/>
      </w:r>
      <w:r>
        <w:t xml:space="preserve"> On the other side of the coin, an applicant is perfectly free to decline an offer of employment, and an employee is free simply to walk off the job.  In essence, the employment relationship lasts only so long as both the employer and the employee desire it.  If either loses the will, the relationship is terminated.</w:t>
      </w:r>
    </w:p>
  </w:footnote>
  <w:footnote w:id="2">
    <w:p w14:paraId="4067C819" w14:textId="77777777" w:rsidR="00FF57FD" w:rsidRDefault="00FF57FD" w:rsidP="00FF57FD">
      <w:pPr>
        <w:pStyle w:val="FootnoteText"/>
      </w:pPr>
      <w:r>
        <w:rPr>
          <w:rStyle w:val="FootnoteReference"/>
        </w:rPr>
        <w:footnoteRef/>
      </w:r>
      <w:r>
        <w:t xml:space="preserve"> </w:t>
      </w:r>
      <w:r w:rsidRPr="005A0AC3">
        <w:t>401 U.S. 424</w:t>
      </w:r>
      <w:r>
        <w:t>.</w:t>
      </w:r>
    </w:p>
  </w:footnote>
  <w:footnote w:id="3">
    <w:p w14:paraId="68742EF0" w14:textId="77777777" w:rsidR="00FF57FD" w:rsidRDefault="00FF57FD" w:rsidP="00FF57FD">
      <w:pPr>
        <w:pStyle w:val="FootnoteText"/>
        <w:tabs>
          <w:tab w:val="left" w:pos="-720"/>
        </w:tabs>
        <w:suppressAutoHyphens/>
      </w:pPr>
      <w:r>
        <w:rPr>
          <w:rStyle w:val="FootnoteReference"/>
        </w:rPr>
        <w:footnoteRef/>
      </w:r>
      <w:r>
        <w:t xml:space="preserve"> Thompkins v. Morris Brown College, 752 F.2d 558 (11th Cir. 1985).</w:t>
      </w:r>
    </w:p>
  </w:footnote>
  <w:footnote w:id="4">
    <w:p w14:paraId="4C398E72" w14:textId="77777777" w:rsidR="00FF57FD" w:rsidRDefault="00FF57FD" w:rsidP="00FF57FD">
      <w:pPr>
        <w:pStyle w:val="FootnoteText"/>
      </w:pPr>
      <w:r>
        <w:rPr>
          <w:rStyle w:val="FootnoteReference"/>
        </w:rPr>
        <w:footnoteRef/>
      </w:r>
      <w:r>
        <w:t xml:space="preserve"> 411 U.S. 792.</w:t>
      </w:r>
    </w:p>
  </w:footnote>
  <w:footnote w:id="5">
    <w:p w14:paraId="571A7C69" w14:textId="77777777" w:rsidR="00FF57FD" w:rsidRDefault="00FF57FD" w:rsidP="00FF57FD">
      <w:pPr>
        <w:pStyle w:val="FootnoteText"/>
        <w:tabs>
          <w:tab w:val="left" w:pos="-720"/>
        </w:tabs>
        <w:suppressAutoHyphens/>
      </w:pPr>
      <w:r>
        <w:rPr>
          <w:rStyle w:val="FootnoteReference"/>
        </w:rPr>
        <w:footnoteRef/>
      </w:r>
      <w:r>
        <w:t xml:space="preserve"> St. Mary’s Honor Ctr. v. Hicks, 509 U.S. 502, 113 S. Ct. 2742, 125 L. Ed. 2d 407 (1993).</w:t>
      </w:r>
    </w:p>
  </w:footnote>
  <w:footnote w:id="6">
    <w:p w14:paraId="2E23AF8C" w14:textId="77777777" w:rsidR="00FF57FD" w:rsidRDefault="00FF57FD" w:rsidP="00FF57FD">
      <w:pPr>
        <w:pStyle w:val="FootnoteText"/>
        <w:tabs>
          <w:tab w:val="left" w:pos="-720"/>
        </w:tabs>
        <w:suppressAutoHyphens/>
      </w:pPr>
      <w:r>
        <w:rPr>
          <w:rStyle w:val="FootnoteReference"/>
        </w:rPr>
        <w:footnoteRef/>
      </w:r>
      <w:r>
        <w:t xml:space="preserve"> Barnes v. Train, 13 F.E.P. Cases 123, 124 (D.D.C. 1974), </w:t>
      </w:r>
      <w:r>
        <w:rPr>
          <w:i/>
        </w:rPr>
        <w:t>rev’d sub nom.</w:t>
      </w:r>
      <w:r>
        <w:t xml:space="preserve"> Barnes v. Costle, 561 F.2d 983 (D.C. Cir. 1977).</w:t>
      </w:r>
    </w:p>
  </w:footnote>
  <w:footnote w:id="7">
    <w:p w14:paraId="2A125AD0" w14:textId="77777777" w:rsidR="00FF57FD" w:rsidRDefault="00FF57FD" w:rsidP="00FF57FD">
      <w:pPr>
        <w:pStyle w:val="FootnoteText"/>
        <w:tabs>
          <w:tab w:val="left" w:pos="-720"/>
        </w:tabs>
        <w:suppressAutoHyphens/>
      </w:pPr>
      <w:r>
        <w:rPr>
          <w:rStyle w:val="FootnoteReference"/>
        </w:rPr>
        <w:footnoteRef/>
      </w:r>
      <w:r>
        <w:t xml:space="preserve"> Henson v. Dundee, 682 F.2d 897 (11th Cir. 1982).</w:t>
      </w:r>
    </w:p>
  </w:footnote>
  <w:footnote w:id="8">
    <w:p w14:paraId="1D32A5F2" w14:textId="77777777" w:rsidR="00FF57FD" w:rsidRDefault="00FF57FD" w:rsidP="00FF57FD">
      <w:pPr>
        <w:pStyle w:val="FootnoteText"/>
        <w:tabs>
          <w:tab w:val="left" w:pos="-720"/>
        </w:tabs>
        <w:suppressAutoHyphens/>
      </w:pPr>
      <w:r>
        <w:rPr>
          <w:rStyle w:val="FootnoteReference"/>
        </w:rPr>
        <w:footnoteRef/>
      </w:r>
      <w:r>
        <w:t xml:space="preserve"> Bundy v. Jackson, 641 F.2d 934, 938 (D.C. Cir. 1981).</w:t>
      </w:r>
    </w:p>
  </w:footnote>
  <w:footnote w:id="9">
    <w:p w14:paraId="3B14FA39" w14:textId="77777777" w:rsidR="00FF57FD" w:rsidRDefault="00FF57FD" w:rsidP="00FF57FD">
      <w:pPr>
        <w:pStyle w:val="FootnoteText"/>
      </w:pPr>
      <w:r>
        <w:rPr>
          <w:rStyle w:val="FootnoteReference"/>
        </w:rPr>
        <w:footnoteRef/>
      </w:r>
      <w:r>
        <w:t xml:space="preserve"> 477 U.S. 57.</w:t>
      </w:r>
    </w:p>
  </w:footnote>
  <w:footnote w:id="10">
    <w:p w14:paraId="2ED03739" w14:textId="77777777" w:rsidR="00FF57FD" w:rsidRDefault="00FF57FD" w:rsidP="00FF57FD">
      <w:pPr>
        <w:pStyle w:val="FootnoteText"/>
        <w:tabs>
          <w:tab w:val="left" w:pos="-720"/>
        </w:tabs>
        <w:suppressAutoHyphens/>
      </w:pPr>
      <w:r>
        <w:rPr>
          <w:rStyle w:val="FootnoteReference"/>
        </w:rPr>
        <w:footnoteRef/>
      </w:r>
      <w:r>
        <w:t xml:space="preserve"> Moser v. MCC Outdoor, LLC, 256 Fed. Appx. 634 (4</w:t>
      </w:r>
      <w:r w:rsidRPr="0065165D">
        <w:rPr>
          <w:vertAlign w:val="superscript"/>
        </w:rPr>
        <w:t>th</w:t>
      </w:r>
      <w:r>
        <w:t xml:space="preserve"> Cir. 2007);  Meritor Sav. Bank v. Vinson, 477 U.S. 57, 106 S. Ct. 2399, 91 L. Ed. 2d 49 (1986).</w:t>
      </w:r>
    </w:p>
  </w:footnote>
  <w:footnote w:id="11">
    <w:p w14:paraId="04E3495F" w14:textId="77777777" w:rsidR="00FF57FD" w:rsidRDefault="00FF57FD" w:rsidP="00FF57FD">
      <w:pPr>
        <w:pStyle w:val="FootnoteText"/>
        <w:tabs>
          <w:tab w:val="left" w:pos="-720"/>
        </w:tabs>
        <w:suppressAutoHyphens/>
      </w:pPr>
      <w:r>
        <w:rPr>
          <w:rStyle w:val="FootnoteReference"/>
        </w:rPr>
        <w:footnoteRef/>
      </w:r>
      <w:r>
        <w:t xml:space="preserve"> Harris v. Forklift Sys., 510 U.S. 17 (1993).</w:t>
      </w:r>
    </w:p>
  </w:footnote>
  <w:footnote w:id="12">
    <w:p w14:paraId="1E8275D0" w14:textId="77777777" w:rsidR="00FF57FD" w:rsidRDefault="00FF57FD" w:rsidP="00FF57FD">
      <w:pPr>
        <w:pStyle w:val="FootnoteText"/>
      </w:pPr>
      <w:r>
        <w:rPr>
          <w:rStyle w:val="FootnoteReference"/>
        </w:rPr>
        <w:footnoteRef/>
      </w:r>
      <w:r>
        <w:t xml:space="preserve"> 524 U.S. 775.</w:t>
      </w:r>
    </w:p>
  </w:footnote>
  <w:footnote w:id="13">
    <w:p w14:paraId="0DEE7E2A" w14:textId="77777777" w:rsidR="00FF57FD" w:rsidRDefault="00FF57FD" w:rsidP="00FF57FD">
      <w:pPr>
        <w:pStyle w:val="FootnoteText"/>
      </w:pPr>
      <w:r>
        <w:rPr>
          <w:rStyle w:val="FootnoteReference"/>
        </w:rPr>
        <w:footnoteRef/>
      </w:r>
      <w:r>
        <w:t xml:space="preserve"> 524 U.S. 742.</w:t>
      </w:r>
    </w:p>
  </w:footnote>
  <w:footnote w:id="14">
    <w:p w14:paraId="116ABD52" w14:textId="77777777" w:rsidR="00FF57FD" w:rsidRDefault="00FF57FD" w:rsidP="00FF57FD">
      <w:pPr>
        <w:pStyle w:val="FootnoteText"/>
      </w:pPr>
      <w:r>
        <w:rPr>
          <w:rStyle w:val="FootnoteReference"/>
        </w:rPr>
        <w:footnoteRef/>
      </w:r>
      <w:r>
        <w:t xml:space="preserve"> ___ U.S. ___,140 S.Ct. 1731.</w:t>
      </w:r>
    </w:p>
  </w:footnote>
  <w:footnote w:id="15">
    <w:p w14:paraId="46ED9EC6" w14:textId="77777777" w:rsidR="00FF57FD" w:rsidRDefault="00FF57FD" w:rsidP="00FF57FD">
      <w:pPr>
        <w:pStyle w:val="FootnoteText"/>
      </w:pPr>
      <w:r>
        <w:rPr>
          <w:rStyle w:val="FootnoteReference"/>
        </w:rPr>
        <w:footnoteRef/>
      </w:r>
      <w:r>
        <w:t xml:space="preserve"> This is the case that lent its name to the Supreme Court decision.</w:t>
      </w:r>
    </w:p>
  </w:footnote>
  <w:footnote w:id="16">
    <w:p w14:paraId="24F0DD4F" w14:textId="77777777" w:rsidR="00FF57FD" w:rsidRDefault="00FF57FD" w:rsidP="00FF57FD">
      <w:pPr>
        <w:pStyle w:val="FootnoteText"/>
      </w:pPr>
      <w:r>
        <w:rPr>
          <w:rStyle w:val="FootnoteReference"/>
        </w:rPr>
        <w:footnoteRef/>
      </w:r>
      <w:r>
        <w:t xml:space="preserve"> Smith v. City of Jackson, 544 U.S. 228 (2005).</w:t>
      </w:r>
    </w:p>
  </w:footnote>
  <w:footnote w:id="17">
    <w:p w14:paraId="4766EF33" w14:textId="77777777" w:rsidR="00FF57FD" w:rsidRDefault="00FF57FD" w:rsidP="00FF57FD">
      <w:pPr>
        <w:pStyle w:val="FootnoteText"/>
        <w:tabs>
          <w:tab w:val="left" w:pos="-720"/>
        </w:tabs>
        <w:suppressAutoHyphens/>
      </w:pPr>
      <w:r>
        <w:rPr>
          <w:rStyle w:val="FootnoteReference"/>
        </w:rPr>
        <w:footnoteRef/>
      </w:r>
      <w:r>
        <w:t xml:space="preserve"> Chapter 168A of the North Carolina General Statutes.</w:t>
      </w:r>
    </w:p>
  </w:footnote>
  <w:footnote w:id="18">
    <w:p w14:paraId="52F346A7" w14:textId="77777777" w:rsidR="00FF57FD" w:rsidRDefault="00FF57FD" w:rsidP="00FF57FD">
      <w:pPr>
        <w:pStyle w:val="FootnoteText"/>
        <w:tabs>
          <w:tab w:val="left" w:pos="-720"/>
        </w:tabs>
        <w:suppressAutoHyphens/>
      </w:pPr>
      <w:r>
        <w:rPr>
          <w:rStyle w:val="FootnoteReference"/>
        </w:rPr>
        <w:footnoteRef/>
      </w:r>
      <w:r>
        <w:t xml:space="preserve"> 42 U.S.C. § 12112(b)(5)(A).</w:t>
      </w:r>
    </w:p>
  </w:footnote>
  <w:footnote w:id="19">
    <w:p w14:paraId="59EA4750" w14:textId="77777777" w:rsidR="00FF57FD" w:rsidRDefault="00FF57FD" w:rsidP="00FF57FD">
      <w:pPr>
        <w:pStyle w:val="FootnoteText"/>
        <w:tabs>
          <w:tab w:val="left" w:pos="-720"/>
        </w:tabs>
        <w:suppressAutoHyphens/>
      </w:pPr>
      <w:r>
        <w:rPr>
          <w:rStyle w:val="FootnoteReference"/>
        </w:rPr>
        <w:footnoteRef/>
      </w:r>
      <w:r>
        <w:t xml:space="preserve"> 42 U.S.C. § 12112(c).</w:t>
      </w:r>
    </w:p>
  </w:footnote>
  <w:footnote w:id="20">
    <w:p w14:paraId="0BBEAF51" w14:textId="77777777" w:rsidR="00FF57FD" w:rsidRDefault="00FF57FD" w:rsidP="00FF57FD">
      <w:pPr>
        <w:pStyle w:val="FootnoteText"/>
      </w:pPr>
      <w:r>
        <w:rPr>
          <w:rStyle w:val="FootnoteReference"/>
        </w:rPr>
        <w:footnoteRef/>
      </w:r>
      <w:r>
        <w:t xml:space="preserve"> 534 U.S. 184.</w:t>
      </w:r>
    </w:p>
  </w:footnote>
  <w:footnote w:id="21">
    <w:p w14:paraId="2D587571" w14:textId="77777777" w:rsidR="00FF57FD" w:rsidRDefault="00FF57FD" w:rsidP="00FF57FD">
      <w:pPr>
        <w:pStyle w:val="FootnoteText"/>
      </w:pPr>
      <w:r>
        <w:rPr>
          <w:rStyle w:val="FootnoteReference"/>
        </w:rPr>
        <w:footnoteRef/>
      </w:r>
      <w:r>
        <w:t xml:space="preserve"> 38 U.S.C. 4311(a)</w:t>
      </w:r>
    </w:p>
  </w:footnote>
  <w:footnote w:id="22">
    <w:p w14:paraId="359E40AD" w14:textId="77777777" w:rsidR="00FF57FD" w:rsidRDefault="00FF57FD" w:rsidP="00FF57FD">
      <w:pPr>
        <w:pStyle w:val="FootnoteText"/>
      </w:pPr>
      <w:r>
        <w:rPr>
          <w:rStyle w:val="FootnoteReference"/>
        </w:rPr>
        <w:footnoteRef/>
      </w:r>
      <w:r>
        <w:t xml:space="preserve"> See Haskins v. Department of the Navy, 86  MSPB 357 (2000) (holding that an allegation that the agency failed to consider employee for promotion while he was servicing in Operation Desert Storm is sufficient to state a claim under USERRA).</w:t>
      </w:r>
    </w:p>
  </w:footnote>
  <w:footnote w:id="23">
    <w:p w14:paraId="1323F169" w14:textId="77777777" w:rsidR="00FF57FD" w:rsidRDefault="00FF57FD" w:rsidP="00FF57FD">
      <w:pPr>
        <w:pStyle w:val="FootnoteText"/>
      </w:pPr>
      <w:r>
        <w:rPr>
          <w:rStyle w:val="FootnoteReference"/>
        </w:rPr>
        <w:footnoteRef/>
      </w:r>
      <w:r>
        <w:t xml:space="preserve"> 38 U.S.C. 4303(13) and (16)</w:t>
      </w:r>
    </w:p>
  </w:footnote>
  <w:footnote w:id="24">
    <w:p w14:paraId="605DA325" w14:textId="77777777" w:rsidR="009675B9" w:rsidRDefault="009675B9" w:rsidP="009675B9">
      <w:pPr>
        <w:pStyle w:val="FootnoteText"/>
      </w:pPr>
      <w:r>
        <w:rPr>
          <w:rStyle w:val="FootnoteReference"/>
        </w:rPr>
        <w:footnoteRef/>
      </w:r>
      <w:r>
        <w:t xml:space="preserve"> 408 U.S. 564, 576.</w:t>
      </w:r>
    </w:p>
  </w:footnote>
  <w:footnote w:id="25">
    <w:p w14:paraId="0348B8AF" w14:textId="77777777" w:rsidR="009675B9" w:rsidRDefault="009675B9" w:rsidP="009675B9">
      <w:pPr>
        <w:pStyle w:val="FootnoteText"/>
      </w:pPr>
      <w:r>
        <w:rPr>
          <w:rStyle w:val="FootnoteReference"/>
        </w:rPr>
        <w:footnoteRef/>
      </w:r>
      <w:r>
        <w:t xml:space="preserve"> G.S. 115C-325.</w:t>
      </w:r>
    </w:p>
  </w:footnote>
  <w:footnote w:id="26">
    <w:p w14:paraId="17E1B6D1" w14:textId="77777777" w:rsidR="009675B9" w:rsidRDefault="009675B9" w:rsidP="009675B9">
      <w:pPr>
        <w:pStyle w:val="FootnoteText"/>
      </w:pPr>
      <w:r>
        <w:rPr>
          <w:rStyle w:val="FootnoteReference"/>
        </w:rPr>
        <w:footnoteRef/>
      </w:r>
      <w:r>
        <w:t xml:space="preserve"> In 2013, the General Assembly repealed the Teacher Tenure Act.  In </w:t>
      </w:r>
      <w:r w:rsidRPr="006E7B5B">
        <w:rPr>
          <w:i/>
        </w:rPr>
        <w:t>N.C. Association of Educators Inc. v. North Carolina</w:t>
      </w:r>
      <w:r>
        <w:t>,  368 N.C. 777 (2016), the state supreme court held that the repeal was constitutional as to teachers who had, as of 2013, not yet achieved tenure, but that the repeal was unconstitutional as to teacher who had, by that time, already achieved tenure.</w:t>
      </w:r>
    </w:p>
  </w:footnote>
  <w:footnote w:id="27">
    <w:p w14:paraId="492F2DF8" w14:textId="77777777" w:rsidR="009675B9" w:rsidRDefault="009675B9" w:rsidP="009675B9">
      <w:pPr>
        <w:pStyle w:val="FootnoteText"/>
      </w:pPr>
      <w:r>
        <w:rPr>
          <w:rStyle w:val="FootnoteReference"/>
        </w:rPr>
        <w:footnoteRef/>
      </w:r>
      <w:r>
        <w:t xml:space="preserve"> 99 N.C. App. 349, 351-52 (citations omitted).</w:t>
      </w:r>
    </w:p>
  </w:footnote>
  <w:footnote w:id="28">
    <w:p w14:paraId="32035CDC" w14:textId="77777777" w:rsidR="009675B9" w:rsidRDefault="009675B9" w:rsidP="009675B9">
      <w:pPr>
        <w:pStyle w:val="FootnoteText"/>
      </w:pPr>
      <w:r>
        <w:rPr>
          <w:rStyle w:val="FootnoteReference"/>
        </w:rPr>
        <w:footnoteRef/>
      </w:r>
      <w:r>
        <w:t xml:space="preserve"> 106 N.C. App. 410.  See also Soles v. City of Raleigh Civil Service Commission, 345 N.C. 443.</w:t>
      </w:r>
    </w:p>
  </w:footnote>
  <w:footnote w:id="29">
    <w:p w14:paraId="460E2EA0" w14:textId="77777777" w:rsidR="009675B9" w:rsidRDefault="009675B9" w:rsidP="009675B9">
      <w:pPr>
        <w:pStyle w:val="FootnoteText"/>
      </w:pPr>
      <w:r>
        <w:rPr>
          <w:rStyle w:val="FootnoteReference"/>
        </w:rPr>
        <w:footnoteRef/>
      </w:r>
      <w:r>
        <w:t xml:space="preserve"> 470 U.S. 532.</w:t>
      </w:r>
    </w:p>
  </w:footnote>
  <w:footnote w:id="30">
    <w:p w14:paraId="291F8DA3" w14:textId="77777777" w:rsidR="009675B9" w:rsidRDefault="009675B9" w:rsidP="009675B9">
      <w:pPr>
        <w:pStyle w:val="FootnoteText"/>
      </w:pPr>
      <w:r>
        <w:rPr>
          <w:rStyle w:val="FootnoteReference"/>
        </w:rPr>
        <w:footnoteRef/>
      </w:r>
      <w:r>
        <w:t xml:space="preserve"> 326 N.C. 603.</w:t>
      </w:r>
    </w:p>
  </w:footnote>
  <w:footnote w:id="31">
    <w:p w14:paraId="3A897411" w14:textId="77777777" w:rsidR="009675B9" w:rsidRDefault="009675B9" w:rsidP="009675B9">
      <w:pPr>
        <w:pStyle w:val="FootnoteText"/>
      </w:pPr>
      <w:r>
        <w:rPr>
          <w:rStyle w:val="FootnoteReference"/>
        </w:rPr>
        <w:footnoteRef/>
      </w:r>
      <w:r>
        <w:t xml:space="preserve"> 326 N.C. at 616-17.</w:t>
      </w:r>
    </w:p>
  </w:footnote>
  <w:footnote w:id="32">
    <w:p w14:paraId="46367F73" w14:textId="77777777" w:rsidR="009675B9" w:rsidRDefault="009675B9" w:rsidP="009675B9">
      <w:pPr>
        <w:pStyle w:val="FootnoteText"/>
      </w:pPr>
      <w:r>
        <w:rPr>
          <w:rStyle w:val="FootnoteReference"/>
        </w:rPr>
        <w:footnoteRef/>
      </w:r>
      <w:r>
        <w:t>. Morris v. Danville, 744 F.2d 1041 (4th Cir. 1984).</w:t>
      </w:r>
    </w:p>
  </w:footnote>
  <w:footnote w:id="33">
    <w:p w14:paraId="33C43F5C" w14:textId="77777777" w:rsidR="009675B9" w:rsidRDefault="009675B9" w:rsidP="009675B9">
      <w:pPr>
        <w:pStyle w:val="FootnoteText"/>
      </w:pPr>
      <w:r>
        <w:rPr>
          <w:rStyle w:val="FootnoteReference"/>
        </w:rPr>
        <w:footnoteRef/>
      </w:r>
      <w:r>
        <w:t>. Crump v. Board of Educ., 326 N.C. 603, 615, 392 S.E.2d 579, 585 (1990); Hope v. Charlotte</w:t>
      </w:r>
      <w:r>
        <w:noBreakHyphen/>
        <w:t xml:space="preserve">Mecklenburg Bd. of Educ., 110 N.C. App. 599, 430 S.E.2d 472 (1993); </w:t>
      </w:r>
      <w:r>
        <w:rPr>
          <w:i/>
        </w:rPr>
        <w:t>Soles</w:t>
      </w:r>
      <w:r>
        <w:t>, 345 N.C. 443, 480 S.E.2d 685.</w:t>
      </w:r>
    </w:p>
  </w:footnote>
  <w:footnote w:id="34">
    <w:p w14:paraId="0ABF8B6F" w14:textId="77777777" w:rsidR="009675B9" w:rsidRDefault="009675B9" w:rsidP="009675B9">
      <w:pPr>
        <w:pStyle w:val="FootnoteText"/>
      </w:pPr>
      <w:r>
        <w:rPr>
          <w:rStyle w:val="FootnoteReference"/>
        </w:rPr>
        <w:footnoteRef/>
      </w:r>
      <w:r>
        <w:t xml:space="preserve">. Cleveland Bd. of Educ. v. Loudermill, 470 U.S. 532, 105 S. Ct. 1487, 84 L. Ed. 2d 494 (1985); </w:t>
      </w:r>
      <w:r>
        <w:rPr>
          <w:i/>
        </w:rPr>
        <w:t>see also</w:t>
      </w:r>
      <w:r>
        <w:t xml:space="preserve"> Hanton v. Gilbert, 36 F.2d 4 (4th Cir. 1994).</w:t>
      </w:r>
    </w:p>
  </w:footnote>
  <w:footnote w:id="35">
    <w:p w14:paraId="7154E116" w14:textId="77777777" w:rsidR="009675B9" w:rsidRDefault="009675B9" w:rsidP="009675B9">
      <w:pPr>
        <w:pStyle w:val="FootnoteText"/>
      </w:pPr>
      <w:r>
        <w:rPr>
          <w:rStyle w:val="FootnoteReference"/>
        </w:rPr>
        <w:footnoteRef/>
      </w:r>
      <w:r>
        <w:t xml:space="preserve">. </w:t>
      </w:r>
      <w:r>
        <w:rPr>
          <w:i/>
        </w:rPr>
        <w:t>See</w:t>
      </w:r>
      <w:r>
        <w:t xml:space="preserve"> Cary Grant, “Predismissal Hearings for School Employees: Developments Since </w:t>
      </w:r>
      <w:r>
        <w:rPr>
          <w:i/>
        </w:rPr>
        <w:t>Loudermill</w:t>
      </w:r>
      <w:r>
        <w:t xml:space="preserve">,” </w:t>
      </w:r>
      <w:r>
        <w:rPr>
          <w:i/>
        </w:rPr>
        <w:t>School Law Bulletin</w:t>
      </w:r>
      <w:r>
        <w:t xml:space="preserve"> 26 (Summer 1995): 1–9.</w:t>
      </w:r>
    </w:p>
  </w:footnote>
  <w:footnote w:id="36">
    <w:p w14:paraId="604BF8EF" w14:textId="77777777" w:rsidR="009675B9" w:rsidRDefault="009675B9" w:rsidP="009675B9">
      <w:pPr>
        <w:pStyle w:val="FootnoteText"/>
      </w:pPr>
      <w:r>
        <w:rPr>
          <w:rStyle w:val="FootnoteReference"/>
        </w:rPr>
        <w:footnoteRef/>
      </w:r>
      <w:r>
        <w:t xml:space="preserve">. </w:t>
      </w:r>
      <w:r>
        <w:rPr>
          <w:i/>
        </w:rPr>
        <w:t>Cleveland</w:t>
      </w:r>
      <w:r>
        <w:t>, 470 U.S. at 546, 105 S. Ct. at 1495, 84 L. Ed. 2d at 506.</w:t>
      </w:r>
    </w:p>
  </w:footnote>
  <w:footnote w:id="37">
    <w:p w14:paraId="5D99D10C" w14:textId="77777777" w:rsidR="009675B9" w:rsidRDefault="009675B9" w:rsidP="009675B9">
      <w:pPr>
        <w:pStyle w:val="FootnoteText"/>
      </w:pPr>
      <w:r>
        <w:rPr>
          <w:rStyle w:val="FootnoteReference"/>
        </w:rPr>
        <w:footnoteRef/>
      </w:r>
      <w:r>
        <w:t xml:space="preserve">. Bishop v. Department of Human Resources, 100 N.C. App. 175, 394 S.E.2d 702, </w:t>
      </w:r>
      <w:r>
        <w:rPr>
          <w:i/>
        </w:rPr>
        <w:t>disc. review allowed</w:t>
      </w:r>
      <w:r>
        <w:t xml:space="preserve">, 327 N.C. 481, 396 S.E.2d 614 (1990), </w:t>
      </w:r>
      <w:r>
        <w:rPr>
          <w:i/>
        </w:rPr>
        <w:t>review denied as improvidently granted</w:t>
      </w:r>
      <w:r>
        <w:t>, 328 N.C. 325, 401 S.E.2d 366 (1991).</w:t>
      </w:r>
    </w:p>
  </w:footnote>
  <w:footnote w:id="38">
    <w:p w14:paraId="70F5AC99" w14:textId="77777777" w:rsidR="009675B9" w:rsidRDefault="009675B9" w:rsidP="009675B9">
      <w:pPr>
        <w:pStyle w:val="FootnoteText"/>
      </w:pPr>
      <w:r>
        <w:rPr>
          <w:rStyle w:val="FootnoteReference"/>
        </w:rPr>
        <w:footnoteRef/>
      </w:r>
      <w:r>
        <w:t>. Greene v. McElroy, 360 U.S. 474, 79 S. Ct. 1400, 3 L. Ed. 2d 1377 (1959).</w:t>
      </w:r>
    </w:p>
  </w:footnote>
  <w:footnote w:id="39">
    <w:p w14:paraId="1BEB515C" w14:textId="77777777" w:rsidR="009675B9" w:rsidRDefault="009675B9" w:rsidP="009675B9">
      <w:pPr>
        <w:pStyle w:val="FootnoteText"/>
      </w:pPr>
      <w:r>
        <w:rPr>
          <w:rStyle w:val="FootnoteReference"/>
        </w:rPr>
        <w:footnoteRef/>
      </w:r>
      <w:r>
        <w:t>. “Determining what process is due in a given setting requires the Court to take into account the individual’s stake in the decision at issue as well as the State’s interest in a particular procedure for making it.” Hortonville Joint Sch. Dist. No. 1. v. Hortonville Educ. Ass’n, 426 U.S. 482, 96 S. Ct. 2308, 49 L.Ed. 2d 1 (1976) (citing cases).</w:t>
      </w:r>
    </w:p>
  </w:footnote>
  <w:footnote w:id="40">
    <w:p w14:paraId="2D9CFFEE" w14:textId="77777777" w:rsidR="009675B9" w:rsidRDefault="009675B9" w:rsidP="009675B9">
      <w:pPr>
        <w:pStyle w:val="FootnoteText"/>
      </w:pPr>
      <w:r>
        <w:rPr>
          <w:rStyle w:val="FootnoteReference"/>
        </w:rPr>
        <w:footnoteRef/>
      </w:r>
      <w:r>
        <w:t xml:space="preserve">. Crump v. Board of Educ., 326 N.C. 603, 392 S.E.2d 579 (1990). </w:t>
      </w:r>
      <w:r>
        <w:rPr>
          <w:i/>
        </w:rPr>
        <w:t>See also</w:t>
      </w:r>
      <w:r>
        <w:t xml:space="preserve"> Ivey v. Yeager, 139 F. 3d 890 (4th Cir. 1998).</w:t>
      </w:r>
    </w:p>
  </w:footnote>
  <w:footnote w:id="41">
    <w:p w14:paraId="7B130834" w14:textId="77777777" w:rsidR="009675B9" w:rsidRDefault="009675B9" w:rsidP="009675B9">
      <w:pPr>
        <w:pStyle w:val="FootnoteText"/>
      </w:pPr>
      <w:r>
        <w:rPr>
          <w:rStyle w:val="FootnoteReference"/>
        </w:rPr>
        <w:footnoteRef/>
      </w:r>
      <w:r>
        <w:t xml:space="preserve">. </w:t>
      </w:r>
      <w:r>
        <w:rPr>
          <w:i/>
        </w:rPr>
        <w:t>Crump</w:t>
      </w:r>
      <w:r>
        <w:t>, 326 N.C. at 616–17, 392 S.E.2d at 586.</w:t>
      </w:r>
    </w:p>
  </w:footnote>
  <w:footnote w:id="42">
    <w:p w14:paraId="242E9C51" w14:textId="77777777" w:rsidR="009675B9" w:rsidRDefault="009675B9" w:rsidP="009675B9">
      <w:pPr>
        <w:pStyle w:val="FootnoteText"/>
      </w:pPr>
      <w:r>
        <w:rPr>
          <w:rStyle w:val="FootnoteReference"/>
        </w:rPr>
        <w:footnoteRef/>
      </w:r>
      <w:r>
        <w:t>. “[I]t is our opinion that if a local board of education properly determines that a member is not impartial, the board does have the authority to disqualify the board member from participating in the hearing.” 54 N.C. Op. Att’y Gen. 86, 87 (1985).</w:t>
      </w:r>
    </w:p>
  </w:footnote>
  <w:footnote w:id="43">
    <w:p w14:paraId="7694998F" w14:textId="77777777" w:rsidR="009675B9" w:rsidRDefault="009675B9" w:rsidP="009675B9">
      <w:pPr>
        <w:pStyle w:val="FootnoteText"/>
      </w:pPr>
      <w:r>
        <w:rPr>
          <w:rStyle w:val="FootnoteReference"/>
        </w:rPr>
        <w:footnoteRef/>
      </w:r>
      <w:r>
        <w:t xml:space="preserve"> G.S. Chapter 132.  See especially G.S. 132-1 and 132-6.</w:t>
      </w:r>
    </w:p>
  </w:footnote>
  <w:footnote w:id="44">
    <w:p w14:paraId="3DD403C0" w14:textId="77777777" w:rsidR="009675B9" w:rsidRDefault="009675B9" w:rsidP="009675B9">
      <w:pPr>
        <w:pStyle w:val="FootnoteText"/>
      </w:pPr>
      <w:r>
        <w:rPr>
          <w:rStyle w:val="FootnoteReference"/>
        </w:rPr>
        <w:footnoteRef/>
      </w:r>
      <w:r>
        <w:t xml:space="preserve"> G.S. 126-22 through -29.</w:t>
      </w:r>
    </w:p>
  </w:footnote>
  <w:footnote w:id="45">
    <w:p w14:paraId="09A0BFE2" w14:textId="77777777" w:rsidR="009675B9" w:rsidRDefault="009675B9" w:rsidP="009675B9">
      <w:pPr>
        <w:pStyle w:val="FootnoteText"/>
      </w:pPr>
      <w:r>
        <w:rPr>
          <w:rStyle w:val="FootnoteReference"/>
        </w:rPr>
        <w:footnoteRef/>
      </w:r>
      <w:r>
        <w:t xml:space="preserve"> G.S. 160A-168.</w:t>
      </w:r>
    </w:p>
  </w:footnote>
  <w:footnote w:id="46">
    <w:p w14:paraId="76EE007D" w14:textId="77777777" w:rsidR="009675B9" w:rsidRDefault="009675B9" w:rsidP="009675B9">
      <w:pPr>
        <w:pStyle w:val="FootnoteText"/>
      </w:pPr>
      <w:r>
        <w:rPr>
          <w:rStyle w:val="FootnoteReference"/>
        </w:rPr>
        <w:footnoteRef/>
      </w:r>
      <w:r>
        <w:t xml:space="preserve"> G.S. 153A-98.</w:t>
      </w:r>
    </w:p>
  </w:footnote>
  <w:footnote w:id="47">
    <w:p w14:paraId="2395AEE0" w14:textId="77777777" w:rsidR="009675B9" w:rsidRDefault="009675B9" w:rsidP="009675B9">
      <w:pPr>
        <w:pStyle w:val="FootnoteText"/>
      </w:pPr>
      <w:r>
        <w:rPr>
          <w:rStyle w:val="FootnoteReference"/>
        </w:rPr>
        <w:footnoteRef/>
      </w:r>
      <w:r>
        <w:t xml:space="preserve"> G.S. 115C-319 through -321.</w:t>
      </w:r>
    </w:p>
  </w:footnote>
  <w:footnote w:id="48">
    <w:p w14:paraId="40629DC5" w14:textId="77777777" w:rsidR="009675B9" w:rsidRDefault="009675B9" w:rsidP="009675B9">
      <w:pPr>
        <w:pStyle w:val="FootnoteText"/>
      </w:pPr>
      <w:r>
        <w:rPr>
          <w:rStyle w:val="FootnoteReference"/>
        </w:rPr>
        <w:footnoteRef/>
      </w:r>
      <w:r>
        <w:t xml:space="preserve"> G.S. 115D-27 through -30.</w:t>
      </w:r>
    </w:p>
  </w:footnote>
  <w:footnote w:id="49">
    <w:p w14:paraId="224B529A" w14:textId="77777777" w:rsidR="009675B9" w:rsidRDefault="009675B9" w:rsidP="009675B9">
      <w:pPr>
        <w:pStyle w:val="FootnoteText"/>
      </w:pPr>
      <w:r>
        <w:rPr>
          <w:rStyle w:val="FootnoteReference"/>
        </w:rPr>
        <w:footnoteRef/>
      </w:r>
      <w:r>
        <w:t xml:space="preserve"> G.S. 122C-158.</w:t>
      </w:r>
    </w:p>
  </w:footnote>
  <w:footnote w:id="50">
    <w:p w14:paraId="3EACB516" w14:textId="77777777" w:rsidR="009675B9" w:rsidRDefault="009675B9" w:rsidP="009675B9">
      <w:pPr>
        <w:pStyle w:val="FootnoteText"/>
      </w:pPr>
      <w:r>
        <w:rPr>
          <w:rStyle w:val="FootnoteReference"/>
        </w:rPr>
        <w:footnoteRef/>
      </w:r>
      <w:r>
        <w:t xml:space="preserve"> G.S. 162A-6.1.</w:t>
      </w:r>
    </w:p>
  </w:footnote>
  <w:footnote w:id="51">
    <w:p w14:paraId="02ABF05A" w14:textId="77777777" w:rsidR="009675B9" w:rsidRDefault="009675B9" w:rsidP="009675B9">
      <w:pPr>
        <w:pStyle w:val="FootnoteText"/>
      </w:pPr>
      <w:r>
        <w:rPr>
          <w:rStyle w:val="FootnoteReference"/>
        </w:rPr>
        <w:footnoteRef/>
      </w:r>
      <w:r>
        <w:t xml:space="preserve"> G.S. 130A-45.9.</w:t>
      </w:r>
    </w:p>
  </w:footnote>
  <w:footnote w:id="52">
    <w:p w14:paraId="19305AA1" w14:textId="77777777" w:rsidR="009675B9" w:rsidRDefault="009675B9" w:rsidP="009675B9">
      <w:pPr>
        <w:pStyle w:val="FootnoteText"/>
      </w:pPr>
      <w:r>
        <w:rPr>
          <w:rStyle w:val="FootnoteReference"/>
        </w:rPr>
        <w:footnoteRef/>
      </w:r>
      <w:r>
        <w:t xml:space="preserve"> G.S. 131E-257.2.</w:t>
      </w:r>
    </w:p>
  </w:footnote>
  <w:footnote w:id="53">
    <w:p w14:paraId="6F11933A" w14:textId="77777777" w:rsidR="009675B9" w:rsidRDefault="009675B9" w:rsidP="009675B9">
      <w:pPr>
        <w:pStyle w:val="FootnoteText"/>
      </w:pPr>
      <w:r>
        <w:rPr>
          <w:rStyle w:val="FootnoteReference"/>
        </w:rPr>
        <w:footnoteRef/>
      </w:r>
      <w:r>
        <w:t xml:space="preserve"> 331 N.C. 735.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B0D08"/>
    <w:multiLevelType w:val="hybridMultilevel"/>
    <w:tmpl w:val="3274EF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8DB74BE"/>
    <w:multiLevelType w:val="hybridMultilevel"/>
    <w:tmpl w:val="E200A9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693610AC"/>
    <w:multiLevelType w:val="hybridMultilevel"/>
    <w:tmpl w:val="757E02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402630224">
    <w:abstractNumId w:val="2"/>
  </w:num>
  <w:num w:numId="2" w16cid:durableId="1487937015">
    <w:abstractNumId w:val="0"/>
  </w:num>
  <w:num w:numId="3" w16cid:durableId="1731805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ED4"/>
    <w:rsid w:val="00000A00"/>
    <w:rsid w:val="0010742B"/>
    <w:rsid w:val="00130246"/>
    <w:rsid w:val="00166F78"/>
    <w:rsid w:val="0037598A"/>
    <w:rsid w:val="003F02FA"/>
    <w:rsid w:val="003F4FD5"/>
    <w:rsid w:val="004C7225"/>
    <w:rsid w:val="00503B20"/>
    <w:rsid w:val="00616F99"/>
    <w:rsid w:val="00656A9A"/>
    <w:rsid w:val="00687F3D"/>
    <w:rsid w:val="007C5ED4"/>
    <w:rsid w:val="009675B9"/>
    <w:rsid w:val="00A157DC"/>
    <w:rsid w:val="00B071D1"/>
    <w:rsid w:val="00D315E4"/>
    <w:rsid w:val="00D93BED"/>
    <w:rsid w:val="00DB2E60"/>
    <w:rsid w:val="00DE15FA"/>
    <w:rsid w:val="00E07E1F"/>
    <w:rsid w:val="00E11092"/>
    <w:rsid w:val="00F243FC"/>
    <w:rsid w:val="00FF57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9ADE8"/>
  <w15:chartTrackingRefBased/>
  <w15:docId w15:val="{D3B7A712-A2BE-4E41-B3F2-268C0965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ED4"/>
    <w:rPr>
      <w:rFonts w:eastAsiaTheme="majorEastAsia" w:cstheme="majorBidi"/>
      <w:color w:val="272727" w:themeColor="text1" w:themeTint="D8"/>
    </w:rPr>
  </w:style>
  <w:style w:type="paragraph" w:styleId="Title">
    <w:name w:val="Title"/>
    <w:basedOn w:val="Normal"/>
    <w:next w:val="Normal"/>
    <w:link w:val="TitleChar"/>
    <w:uiPriority w:val="10"/>
    <w:qFormat/>
    <w:rsid w:val="007C5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ED4"/>
    <w:pPr>
      <w:spacing w:before="160"/>
      <w:jc w:val="center"/>
    </w:pPr>
    <w:rPr>
      <w:i/>
      <w:iCs/>
      <w:color w:val="404040" w:themeColor="text1" w:themeTint="BF"/>
    </w:rPr>
  </w:style>
  <w:style w:type="character" w:customStyle="1" w:styleId="QuoteChar">
    <w:name w:val="Quote Char"/>
    <w:basedOn w:val="DefaultParagraphFont"/>
    <w:link w:val="Quote"/>
    <w:uiPriority w:val="29"/>
    <w:rsid w:val="007C5ED4"/>
    <w:rPr>
      <w:i/>
      <w:iCs/>
      <w:color w:val="404040" w:themeColor="text1" w:themeTint="BF"/>
    </w:rPr>
  </w:style>
  <w:style w:type="paragraph" w:styleId="ListParagraph">
    <w:name w:val="List Paragraph"/>
    <w:basedOn w:val="Normal"/>
    <w:uiPriority w:val="34"/>
    <w:qFormat/>
    <w:rsid w:val="007C5ED4"/>
    <w:pPr>
      <w:ind w:left="720"/>
      <w:contextualSpacing/>
    </w:pPr>
  </w:style>
  <w:style w:type="character" w:styleId="IntenseEmphasis">
    <w:name w:val="Intense Emphasis"/>
    <w:basedOn w:val="DefaultParagraphFont"/>
    <w:uiPriority w:val="21"/>
    <w:qFormat/>
    <w:rsid w:val="007C5ED4"/>
    <w:rPr>
      <w:i/>
      <w:iCs/>
      <w:color w:val="0F4761" w:themeColor="accent1" w:themeShade="BF"/>
    </w:rPr>
  </w:style>
  <w:style w:type="paragraph" w:styleId="IntenseQuote">
    <w:name w:val="Intense Quote"/>
    <w:basedOn w:val="Normal"/>
    <w:next w:val="Normal"/>
    <w:link w:val="IntenseQuoteChar"/>
    <w:uiPriority w:val="30"/>
    <w:qFormat/>
    <w:rsid w:val="007C5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ED4"/>
    <w:rPr>
      <w:i/>
      <w:iCs/>
      <w:color w:val="0F4761" w:themeColor="accent1" w:themeShade="BF"/>
    </w:rPr>
  </w:style>
  <w:style w:type="character" w:styleId="IntenseReference">
    <w:name w:val="Intense Reference"/>
    <w:basedOn w:val="DefaultParagraphFont"/>
    <w:uiPriority w:val="32"/>
    <w:qFormat/>
    <w:rsid w:val="007C5ED4"/>
    <w:rPr>
      <w:b/>
      <w:bCs/>
      <w:smallCaps/>
      <w:color w:val="0F4761" w:themeColor="accent1" w:themeShade="BF"/>
      <w:spacing w:val="5"/>
    </w:rPr>
  </w:style>
  <w:style w:type="character" w:styleId="Hyperlink">
    <w:name w:val="Hyperlink"/>
    <w:basedOn w:val="DefaultParagraphFont"/>
    <w:uiPriority w:val="99"/>
    <w:unhideWhenUsed/>
    <w:rsid w:val="0037598A"/>
    <w:rPr>
      <w:color w:val="467886" w:themeColor="hyperlink"/>
      <w:u w:val="single"/>
    </w:rPr>
  </w:style>
  <w:style w:type="paragraph" w:styleId="FootnoteText">
    <w:name w:val="footnote text"/>
    <w:basedOn w:val="Normal"/>
    <w:link w:val="FootnoteTextChar"/>
    <w:uiPriority w:val="99"/>
    <w:unhideWhenUsed/>
    <w:rsid w:val="009675B9"/>
    <w:pPr>
      <w:spacing w:after="0" w:line="240" w:lineRule="auto"/>
    </w:pPr>
    <w:rPr>
      <w:rFonts w:ascii="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9675B9"/>
    <w:rPr>
      <w:rFonts w:ascii="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9675B9"/>
    <w:rPr>
      <w:vertAlign w:val="superscript"/>
    </w:rPr>
  </w:style>
  <w:style w:type="paragraph" w:styleId="NormalWeb">
    <w:name w:val="Normal (Web)"/>
    <w:basedOn w:val="Normal"/>
    <w:uiPriority w:val="99"/>
    <w:unhideWhenUsed/>
    <w:rsid w:val="009675B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675B9"/>
    <w:rPr>
      <w:i/>
      <w:iCs/>
    </w:rPr>
  </w:style>
  <w:style w:type="paragraph" w:styleId="NoSpacing">
    <w:name w:val="No Spacing"/>
    <w:uiPriority w:val="1"/>
    <w:qFormat/>
    <w:rsid w:val="009675B9"/>
    <w:pPr>
      <w:spacing w:after="0" w:line="240" w:lineRule="auto"/>
    </w:pPr>
    <w:rPr>
      <w:rFonts w:ascii="Times New Roman" w:eastAsia="Calibri" w:hAnsi="Times New Roman" w:cs="Times New Roman"/>
      <w:kern w:val="0"/>
      <w:szCs w:val="22"/>
      <w14:ligatures w14:val="none"/>
    </w:rPr>
  </w:style>
  <w:style w:type="paragraph" w:styleId="Header">
    <w:name w:val="header"/>
    <w:basedOn w:val="Normal"/>
    <w:link w:val="HeaderChar"/>
    <w:uiPriority w:val="99"/>
    <w:unhideWhenUsed/>
    <w:rsid w:val="00FF5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7FD"/>
  </w:style>
  <w:style w:type="paragraph" w:styleId="Footer">
    <w:name w:val="footer"/>
    <w:basedOn w:val="Normal"/>
    <w:link w:val="FooterChar"/>
    <w:uiPriority w:val="99"/>
    <w:unhideWhenUsed/>
    <w:rsid w:val="00FF5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7FD"/>
  </w:style>
  <w:style w:type="paragraph" w:styleId="Revision">
    <w:name w:val="Revision"/>
    <w:hidden/>
    <w:uiPriority w:val="99"/>
    <w:semiHidden/>
    <w:rsid w:val="00FF57FD"/>
    <w:pPr>
      <w:spacing w:after="0" w:line="240" w:lineRule="auto"/>
    </w:pPr>
  </w:style>
  <w:style w:type="character" w:styleId="UnresolvedMention">
    <w:name w:val="Unresolved Mention"/>
    <w:basedOn w:val="DefaultParagraphFont"/>
    <w:uiPriority w:val="99"/>
    <w:semiHidden/>
    <w:unhideWhenUsed/>
    <w:rsid w:val="00F24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ga.state.nc.us/gascripts/statutes/statutelookup.pl?statute=95-98" TargetMode="External"/><Relationship Id="rId13" Type="http://schemas.openxmlformats.org/officeDocument/2006/relationships/hyperlink" Target="http://canons.sog.unc.edu/?p=1415" TargetMode="External"/><Relationship Id="rId18" Type="http://schemas.openxmlformats.org/officeDocument/2006/relationships/hyperlink" Target="https://canons.sog.unc.edu/blog/2012/10/02/confidentiality-of-applicants-nam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anons.sog.unc.edu/blog/2010/07/08/understanding-the-limitations-of-north-carolinas-whistleblower-protection-act/" TargetMode="External"/><Relationship Id="rId7" Type="http://schemas.openxmlformats.org/officeDocument/2006/relationships/endnotes" Target="endnotes.xml"/><Relationship Id="rId12" Type="http://schemas.openxmlformats.org/officeDocument/2006/relationships/hyperlink" Target="http://canons.sog.unc.edu/?p=3241" TargetMode="External"/><Relationship Id="rId17" Type="http://schemas.openxmlformats.org/officeDocument/2006/relationships/hyperlink" Target="https://canons.sog.unc.edu/blog/2013/02/05/hey-job-applicant-have-you-ever-been-arrested-or-convicted/"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ol.gov/vets/programs/userra/USERRA_Private.pdf" TargetMode="External"/><Relationship Id="rId20" Type="http://schemas.openxmlformats.org/officeDocument/2006/relationships/hyperlink" Target="https://canons.sog.unc.edu/blog/2011/07/05/small-towns-and-the-fm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nons.sog.unc.edu/?p=3319" TargetMode="External"/><Relationship Id="rId24" Type="http://schemas.openxmlformats.org/officeDocument/2006/relationships/hyperlink" Target="https://canons.sog.unc.edu/blog/2013/05/07/when-an-employee-wants-to-record-a-meeting-with-a-supervisor/" TargetMode="External"/><Relationship Id="rId5" Type="http://schemas.openxmlformats.org/officeDocument/2006/relationships/webSettings" Target="webSettings.xml"/><Relationship Id="rId15" Type="http://schemas.openxmlformats.org/officeDocument/2006/relationships/hyperlink" Target="http://www.eeoc.gov/laws/guidance/arrest_conviction.cfm" TargetMode="External"/><Relationship Id="rId23" Type="http://schemas.openxmlformats.org/officeDocument/2006/relationships/hyperlink" Target="https://canons.sog.unc.edu/blog/2018/06/12/public-employers-beware-new-rule-violate-a-policy-your-employee-may-sue-you-2/" TargetMode="External"/><Relationship Id="rId10" Type="http://schemas.openxmlformats.org/officeDocument/2006/relationships/hyperlink" Target="http://canons.sog.unc.edu/?p=5151" TargetMode="External"/><Relationship Id="rId19" Type="http://schemas.openxmlformats.org/officeDocument/2006/relationships/hyperlink" Target="https://canons.sog.unc.edu/blog/2011/08/02/the-first-amendment-and-facebook-rants-a-case-example/" TargetMode="External"/><Relationship Id="rId4" Type="http://schemas.openxmlformats.org/officeDocument/2006/relationships/settings" Target="settings.xml"/><Relationship Id="rId9" Type="http://schemas.openxmlformats.org/officeDocument/2006/relationships/hyperlink" Target="http://canons.sog.unc.edu/?p=5361" TargetMode="External"/><Relationship Id="rId14" Type="http://schemas.openxmlformats.org/officeDocument/2006/relationships/hyperlink" Target="http://canons.sog.unc.edu/?p=2784" TargetMode="External"/><Relationship Id="rId22" Type="http://schemas.openxmlformats.org/officeDocument/2006/relationships/hyperlink" Target="https://canons.sog.unc.edu/blog/2009/12/02/north-carolina-court-of-appeals-strikes-down-school-boards-random-drug-teesting-progra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0B5D5-0E07-40ED-9161-9111BDE8C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16457</Words>
  <Characters>86074</Characters>
  <Application>Microsoft Office Word</Application>
  <DocSecurity>0</DocSecurity>
  <Lines>1793</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Robert P</dc:creator>
  <cp:keywords/>
  <dc:description/>
  <cp:lastModifiedBy>Vasquez, Lesly</cp:lastModifiedBy>
  <cp:revision>2</cp:revision>
  <cp:lastPrinted>2026-03-30T19:41:00Z</cp:lastPrinted>
  <dcterms:created xsi:type="dcterms:W3CDTF">2026-03-31T16:46:00Z</dcterms:created>
  <dcterms:modified xsi:type="dcterms:W3CDTF">2026-03-31T16:46:00Z</dcterms:modified>
</cp:coreProperties>
</file>