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4689" w14:textId="7460A26D" w:rsidR="00775D29" w:rsidRDefault="00814E86">
      <w:pPr>
        <w:rPr>
          <w:b/>
          <w:bCs/>
          <w:sz w:val="30"/>
          <w:szCs w:val="26"/>
        </w:rPr>
      </w:pPr>
      <w:r>
        <w:rPr>
          <w:b/>
          <w:bCs/>
          <w:sz w:val="30"/>
          <w:szCs w:val="26"/>
        </w:rPr>
        <w:t xml:space="preserve">Sex Offender </w:t>
      </w:r>
      <w:r w:rsidR="00775D29" w:rsidRPr="00775D29">
        <w:rPr>
          <w:b/>
          <w:bCs/>
          <w:sz w:val="30"/>
          <w:szCs w:val="26"/>
        </w:rPr>
        <w:t>Registration</w:t>
      </w:r>
    </w:p>
    <w:p w14:paraId="703927FF" w14:textId="77777777" w:rsidR="00775D29" w:rsidRDefault="00775D29">
      <w:pPr>
        <w:rPr>
          <w:b/>
          <w:bCs/>
          <w:sz w:val="26"/>
          <w:szCs w:val="22"/>
        </w:rPr>
      </w:pPr>
    </w:p>
    <w:p w14:paraId="22BA5EF8" w14:textId="1E02E5DE" w:rsidR="00775D29" w:rsidRPr="00814E86" w:rsidRDefault="00775D29">
      <w:pPr>
        <w:rPr>
          <w:rFonts w:ascii="Calibri" w:hAnsi="Calibri" w:cs="Calibri"/>
          <w:b/>
          <w:bCs/>
          <w:sz w:val="26"/>
          <w:szCs w:val="22"/>
        </w:rPr>
      </w:pPr>
      <w:r w:rsidRPr="00814E86">
        <w:rPr>
          <w:rFonts w:ascii="Calibri" w:hAnsi="Calibri" w:cs="Calibri"/>
          <w:b/>
          <w:bCs/>
          <w:sz w:val="26"/>
          <w:szCs w:val="22"/>
        </w:rPr>
        <w:t>Crimes Requiring Registration</w:t>
      </w:r>
    </w:p>
    <w:tbl>
      <w:tblPr>
        <w:tblStyle w:val="AppendixFTableContinued"/>
        <w:tblW w:w="0" w:type="auto"/>
        <w:tblLayout w:type="fixed"/>
        <w:tblLook w:val="0420" w:firstRow="1" w:lastRow="0" w:firstColumn="0" w:lastColumn="0" w:noHBand="0" w:noVBand="1"/>
      </w:tblPr>
      <w:tblGrid>
        <w:gridCol w:w="1920"/>
        <w:gridCol w:w="4799"/>
        <w:gridCol w:w="3000"/>
      </w:tblGrid>
      <w:tr w:rsidR="00472DE3" w14:paraId="6D0B88AA" w14:textId="77777777" w:rsidTr="00472DE3">
        <w:trPr>
          <w:cnfStyle w:val="100000000000" w:firstRow="1" w:lastRow="0" w:firstColumn="0" w:lastColumn="0" w:oddVBand="0" w:evenVBand="0" w:oddHBand="0" w:evenHBand="0" w:firstRowFirstColumn="0" w:firstRowLastColumn="0" w:lastRowFirstColumn="0" w:lastRowLastColumn="0"/>
        </w:trPr>
        <w:tc>
          <w:tcPr>
            <w:tcW w:w="9719" w:type="dxa"/>
            <w:gridSpan w:val="3"/>
            <w:tcBorders>
              <w:top w:val="none" w:sz="8" w:space="0" w:color="auto"/>
              <w:left w:val="none" w:sz="8" w:space="0" w:color="auto"/>
              <w:bottom w:val="single" w:sz="6" w:space="0" w:color="auto"/>
              <w:right w:val="none" w:sz="8" w:space="0" w:color="auto"/>
            </w:tcBorders>
            <w:tcMar>
              <w:top w:w="70" w:type="dxa"/>
              <w:left w:w="0" w:type="dxa"/>
              <w:bottom w:w="100" w:type="dxa"/>
              <w:right w:w="80" w:type="dxa"/>
            </w:tcMar>
            <w:vAlign w:val="bottom"/>
          </w:tcPr>
          <w:p w14:paraId="19B91947" w14:textId="77777777" w:rsidR="00472DE3" w:rsidRDefault="003B6E00">
            <w:pPr>
              <w:pStyle w:val="appendixfheada"/>
            </w:pPr>
            <w:r>
              <w:t>Sexually Violent Offenses (G.S. 14-208.6(5))</w:t>
            </w:r>
          </w:p>
        </w:tc>
      </w:tr>
      <w:tr w:rsidR="00472DE3" w14:paraId="20BF98A5"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none" w:sz="8" w:space="0" w:color="auto"/>
              <w:right w:val="none" w:sz="8" w:space="0" w:color="auto"/>
            </w:tcBorders>
            <w:shd w:val="pct80" w:color="000000" w:fill="auto"/>
            <w:tcMar>
              <w:top w:w="100" w:type="dxa"/>
              <w:left w:w="80" w:type="dxa"/>
              <w:bottom w:w="100" w:type="dxa"/>
              <w:right w:w="80" w:type="dxa"/>
            </w:tcMar>
            <w:vAlign w:val="bottom"/>
          </w:tcPr>
          <w:p w14:paraId="6E86D3B9" w14:textId="77777777" w:rsidR="00472DE3" w:rsidRDefault="003B6E00">
            <w:pPr>
              <w:pStyle w:val="tableheadwhite"/>
            </w:pPr>
            <w:r>
              <w:t>Statute (G.S.)</w:t>
            </w:r>
          </w:p>
        </w:tc>
        <w:tc>
          <w:tcPr>
            <w:tcW w:w="4799"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160" w:type="dxa"/>
            </w:tcMar>
            <w:vAlign w:val="bottom"/>
          </w:tcPr>
          <w:p w14:paraId="457544B0" w14:textId="77777777" w:rsidR="00472DE3" w:rsidRDefault="003B6E00">
            <w:pPr>
              <w:pStyle w:val="tableheadwhite"/>
            </w:pPr>
            <w:r>
              <w:t>Offense</w:t>
            </w:r>
          </w:p>
        </w:tc>
        <w:tc>
          <w:tcPr>
            <w:tcW w:w="300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3ED8DDBE" w14:textId="77777777" w:rsidR="00472DE3" w:rsidRDefault="003B6E00">
            <w:pPr>
              <w:pStyle w:val="tableheadwhite"/>
            </w:pPr>
            <w:r>
              <w:t>Effective Date</w:t>
            </w:r>
          </w:p>
        </w:tc>
      </w:tr>
      <w:tr w:rsidR="00472DE3" w14:paraId="79944C41"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714FA484" w14:textId="77777777" w:rsidR="00472DE3" w:rsidRDefault="003B6E00">
            <w:pPr>
              <w:pStyle w:val="appendixtablesubhead"/>
            </w:pPr>
            <w:r>
              <w:t>14‑27.21</w:t>
            </w:r>
          </w:p>
        </w:tc>
        <w:tc>
          <w:tcPr>
            <w:tcW w:w="4799" w:type="dxa"/>
            <w:tcMar>
              <w:top w:w="70" w:type="dxa"/>
              <w:left w:w="0" w:type="dxa"/>
              <w:bottom w:w="70" w:type="dxa"/>
              <w:right w:w="160" w:type="dxa"/>
            </w:tcMar>
          </w:tcPr>
          <w:p w14:paraId="17674D19" w14:textId="77777777" w:rsidR="00472DE3" w:rsidRDefault="003B6E00">
            <w:pPr>
              <w:pStyle w:val="tabletext"/>
            </w:pPr>
            <w:r>
              <w:t>First‑degree forcible rape</w:t>
            </w:r>
          </w:p>
        </w:tc>
        <w:tc>
          <w:tcPr>
            <w:tcW w:w="3000" w:type="dxa"/>
            <w:tcMar>
              <w:top w:w="70" w:type="dxa"/>
              <w:left w:w="0" w:type="dxa"/>
              <w:bottom w:w="70" w:type="dxa"/>
              <w:right w:w="80" w:type="dxa"/>
            </w:tcMar>
          </w:tcPr>
          <w:p w14:paraId="71057632" w14:textId="77777777" w:rsidR="00472DE3" w:rsidRDefault="003B6E00">
            <w:pPr>
              <w:pStyle w:val="tabletext"/>
            </w:pPr>
            <w:r>
              <w:t>Committed on/after 12/1/2015</w:t>
            </w:r>
          </w:p>
        </w:tc>
      </w:tr>
      <w:tr w:rsidR="00472DE3" w14:paraId="7B8F12FE"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493E4FA0" w14:textId="77777777" w:rsidR="00472DE3" w:rsidRDefault="003B6E00">
            <w:pPr>
              <w:pStyle w:val="appendixtablesubhead"/>
            </w:pPr>
            <w:r>
              <w:t>14‑27.22</w:t>
            </w:r>
          </w:p>
        </w:tc>
        <w:tc>
          <w:tcPr>
            <w:tcW w:w="4799" w:type="dxa"/>
            <w:tcMar>
              <w:top w:w="70" w:type="dxa"/>
              <w:left w:w="0" w:type="dxa"/>
              <w:bottom w:w="70" w:type="dxa"/>
              <w:right w:w="160" w:type="dxa"/>
            </w:tcMar>
          </w:tcPr>
          <w:p w14:paraId="76818A42" w14:textId="77777777" w:rsidR="00472DE3" w:rsidRDefault="003B6E00">
            <w:pPr>
              <w:pStyle w:val="tabletext"/>
            </w:pPr>
            <w:r>
              <w:t>Second‑degree forcible rape</w:t>
            </w:r>
          </w:p>
        </w:tc>
        <w:tc>
          <w:tcPr>
            <w:tcW w:w="3000" w:type="dxa"/>
            <w:tcMar>
              <w:top w:w="70" w:type="dxa"/>
              <w:left w:w="0" w:type="dxa"/>
              <w:bottom w:w="70" w:type="dxa"/>
              <w:right w:w="80" w:type="dxa"/>
            </w:tcMar>
          </w:tcPr>
          <w:p w14:paraId="62A1FDB6" w14:textId="77777777" w:rsidR="00472DE3" w:rsidRDefault="003B6E00">
            <w:pPr>
              <w:pStyle w:val="tabletext"/>
            </w:pPr>
            <w:r>
              <w:t>Committed on/after 12/1/2015</w:t>
            </w:r>
          </w:p>
        </w:tc>
      </w:tr>
      <w:tr w:rsidR="00472DE3" w14:paraId="1605ED2A"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3AD89F59" w14:textId="77777777" w:rsidR="00472DE3" w:rsidRDefault="003B6E00">
            <w:pPr>
              <w:pStyle w:val="appendixtablesubhead"/>
            </w:pPr>
            <w:r>
              <w:t>14‑27.23</w:t>
            </w:r>
          </w:p>
        </w:tc>
        <w:tc>
          <w:tcPr>
            <w:tcW w:w="4799" w:type="dxa"/>
            <w:tcMar>
              <w:top w:w="70" w:type="dxa"/>
              <w:left w:w="0" w:type="dxa"/>
              <w:bottom w:w="70" w:type="dxa"/>
              <w:right w:w="160" w:type="dxa"/>
            </w:tcMar>
          </w:tcPr>
          <w:p w14:paraId="2365E397" w14:textId="77777777" w:rsidR="00472DE3" w:rsidRDefault="003B6E00">
            <w:pPr>
              <w:pStyle w:val="tabletext"/>
            </w:pPr>
            <w:r>
              <w:t>Statutory rape of a child by an adult</w:t>
            </w:r>
          </w:p>
        </w:tc>
        <w:tc>
          <w:tcPr>
            <w:tcW w:w="3000" w:type="dxa"/>
            <w:tcMar>
              <w:top w:w="70" w:type="dxa"/>
              <w:left w:w="0" w:type="dxa"/>
              <w:bottom w:w="70" w:type="dxa"/>
              <w:right w:w="80" w:type="dxa"/>
            </w:tcMar>
          </w:tcPr>
          <w:p w14:paraId="16D8CB8F" w14:textId="77777777" w:rsidR="00472DE3" w:rsidRDefault="003B6E00">
            <w:pPr>
              <w:pStyle w:val="tabletext"/>
            </w:pPr>
            <w:r>
              <w:t>Committed on/after 12/1/2015</w:t>
            </w:r>
          </w:p>
        </w:tc>
      </w:tr>
      <w:tr w:rsidR="00472DE3" w14:paraId="5B5E4749"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7C683148" w14:textId="77777777" w:rsidR="00472DE3" w:rsidRDefault="003B6E00">
            <w:pPr>
              <w:pStyle w:val="appendixtablesubhead"/>
            </w:pPr>
            <w:r>
              <w:t>14‑27.24</w:t>
            </w:r>
          </w:p>
        </w:tc>
        <w:tc>
          <w:tcPr>
            <w:tcW w:w="4799" w:type="dxa"/>
            <w:tcMar>
              <w:top w:w="70" w:type="dxa"/>
              <w:left w:w="0" w:type="dxa"/>
              <w:bottom w:w="70" w:type="dxa"/>
              <w:right w:w="160" w:type="dxa"/>
            </w:tcMar>
          </w:tcPr>
          <w:p w14:paraId="44378CDE" w14:textId="77777777" w:rsidR="00472DE3" w:rsidRDefault="003B6E00">
            <w:pPr>
              <w:pStyle w:val="tabletext"/>
            </w:pPr>
            <w:r>
              <w:t>First‑degree statutory rape</w:t>
            </w:r>
          </w:p>
        </w:tc>
        <w:tc>
          <w:tcPr>
            <w:tcW w:w="3000" w:type="dxa"/>
            <w:tcMar>
              <w:top w:w="70" w:type="dxa"/>
              <w:left w:w="0" w:type="dxa"/>
              <w:bottom w:w="70" w:type="dxa"/>
              <w:right w:w="80" w:type="dxa"/>
            </w:tcMar>
          </w:tcPr>
          <w:p w14:paraId="22240847" w14:textId="77777777" w:rsidR="00472DE3" w:rsidRDefault="003B6E00">
            <w:pPr>
              <w:pStyle w:val="tabletext"/>
            </w:pPr>
            <w:r>
              <w:t>Effective 12/1/2015 and, at a minimum, applicable to offenses committed on or after that date</w:t>
            </w:r>
          </w:p>
        </w:tc>
      </w:tr>
      <w:tr w:rsidR="00472DE3" w14:paraId="6C14BD83"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4AE19DE6" w14:textId="77777777" w:rsidR="00472DE3" w:rsidRDefault="003B6E00">
            <w:pPr>
              <w:pStyle w:val="appendixtablesubhead"/>
            </w:pPr>
            <w:r>
              <w:t>14‑27.25(a)</w:t>
            </w:r>
          </w:p>
        </w:tc>
        <w:tc>
          <w:tcPr>
            <w:tcW w:w="4799" w:type="dxa"/>
            <w:tcMar>
              <w:top w:w="70" w:type="dxa"/>
              <w:left w:w="0" w:type="dxa"/>
              <w:bottom w:w="70" w:type="dxa"/>
              <w:right w:w="160" w:type="dxa"/>
            </w:tcMar>
          </w:tcPr>
          <w:p w14:paraId="4C736D5A" w14:textId="77777777" w:rsidR="00472DE3" w:rsidRDefault="003B6E00">
            <w:pPr>
              <w:pStyle w:val="tabletext"/>
            </w:pPr>
            <w:r>
              <w:t>Statutory rape of a person who is 15 years of age or younger and the defendant is at least six years older</w:t>
            </w:r>
          </w:p>
        </w:tc>
        <w:tc>
          <w:tcPr>
            <w:tcW w:w="3000" w:type="dxa"/>
            <w:tcMar>
              <w:top w:w="70" w:type="dxa"/>
              <w:left w:w="0" w:type="dxa"/>
              <w:bottom w:w="70" w:type="dxa"/>
              <w:right w:w="80" w:type="dxa"/>
            </w:tcMar>
          </w:tcPr>
          <w:p w14:paraId="0336E5A6" w14:textId="77777777" w:rsidR="00472DE3" w:rsidRDefault="003B6E00">
            <w:pPr>
              <w:pStyle w:val="tabletext"/>
            </w:pPr>
            <w:r>
              <w:t>Committed on/after 12/1/2015</w:t>
            </w:r>
          </w:p>
        </w:tc>
      </w:tr>
      <w:tr w:rsidR="00472DE3" w14:paraId="30F7AF91"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72B72ADF" w14:textId="77777777" w:rsidR="00472DE3" w:rsidRDefault="003B6E00">
            <w:pPr>
              <w:pStyle w:val="appendixtablesubhead"/>
            </w:pPr>
            <w:r>
              <w:t>14‑27.26</w:t>
            </w:r>
          </w:p>
        </w:tc>
        <w:tc>
          <w:tcPr>
            <w:tcW w:w="4799" w:type="dxa"/>
            <w:tcMar>
              <w:top w:w="70" w:type="dxa"/>
              <w:left w:w="0" w:type="dxa"/>
              <w:bottom w:w="70" w:type="dxa"/>
              <w:right w:w="160" w:type="dxa"/>
            </w:tcMar>
          </w:tcPr>
          <w:p w14:paraId="77F4AD83" w14:textId="77777777" w:rsidR="00472DE3" w:rsidRDefault="003B6E00">
            <w:pPr>
              <w:pStyle w:val="tabletext"/>
            </w:pPr>
            <w:r>
              <w:t>First‑degree forcible sexual offense</w:t>
            </w:r>
          </w:p>
        </w:tc>
        <w:tc>
          <w:tcPr>
            <w:tcW w:w="3000" w:type="dxa"/>
            <w:tcMar>
              <w:top w:w="70" w:type="dxa"/>
              <w:left w:w="0" w:type="dxa"/>
              <w:bottom w:w="70" w:type="dxa"/>
              <w:right w:w="80" w:type="dxa"/>
            </w:tcMar>
          </w:tcPr>
          <w:p w14:paraId="00B16837" w14:textId="77777777" w:rsidR="00472DE3" w:rsidRDefault="003B6E00">
            <w:pPr>
              <w:pStyle w:val="tabletext"/>
            </w:pPr>
            <w:r>
              <w:t>Committed on/after 12/1/2015</w:t>
            </w:r>
          </w:p>
        </w:tc>
      </w:tr>
      <w:tr w:rsidR="00472DE3" w14:paraId="5B9A3BC3"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9172040" w14:textId="77777777" w:rsidR="00472DE3" w:rsidRDefault="003B6E00">
            <w:pPr>
              <w:pStyle w:val="appendixtablesubhead"/>
            </w:pPr>
            <w:r>
              <w:t>14‑27.27</w:t>
            </w:r>
          </w:p>
        </w:tc>
        <w:tc>
          <w:tcPr>
            <w:tcW w:w="4799" w:type="dxa"/>
            <w:tcMar>
              <w:top w:w="70" w:type="dxa"/>
              <w:left w:w="0" w:type="dxa"/>
              <w:bottom w:w="70" w:type="dxa"/>
              <w:right w:w="160" w:type="dxa"/>
            </w:tcMar>
          </w:tcPr>
          <w:p w14:paraId="773CFCAB" w14:textId="77777777" w:rsidR="00472DE3" w:rsidRDefault="003B6E00">
            <w:pPr>
              <w:pStyle w:val="tabletext"/>
            </w:pPr>
            <w:r>
              <w:t>Second‑degree forcible sexual offense</w:t>
            </w:r>
          </w:p>
        </w:tc>
        <w:tc>
          <w:tcPr>
            <w:tcW w:w="3000" w:type="dxa"/>
            <w:tcMar>
              <w:top w:w="70" w:type="dxa"/>
              <w:left w:w="0" w:type="dxa"/>
              <w:bottom w:w="70" w:type="dxa"/>
              <w:right w:w="80" w:type="dxa"/>
            </w:tcMar>
          </w:tcPr>
          <w:p w14:paraId="79B62444" w14:textId="77777777" w:rsidR="00472DE3" w:rsidRDefault="003B6E00">
            <w:pPr>
              <w:pStyle w:val="tabletext"/>
            </w:pPr>
            <w:r>
              <w:t>Committed on/after 12/1/2015</w:t>
            </w:r>
          </w:p>
        </w:tc>
      </w:tr>
      <w:tr w:rsidR="00472DE3" w14:paraId="26A5954B"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46F399CE" w14:textId="77777777" w:rsidR="00472DE3" w:rsidRDefault="003B6E00">
            <w:pPr>
              <w:pStyle w:val="appendixtablesubhead"/>
            </w:pPr>
            <w:r>
              <w:t>14‑27.28</w:t>
            </w:r>
          </w:p>
        </w:tc>
        <w:tc>
          <w:tcPr>
            <w:tcW w:w="4799" w:type="dxa"/>
            <w:tcMar>
              <w:top w:w="70" w:type="dxa"/>
              <w:left w:w="0" w:type="dxa"/>
              <w:bottom w:w="70" w:type="dxa"/>
              <w:right w:w="160" w:type="dxa"/>
            </w:tcMar>
          </w:tcPr>
          <w:p w14:paraId="0A60583E" w14:textId="77777777" w:rsidR="00472DE3" w:rsidRDefault="003B6E00">
            <w:pPr>
              <w:pStyle w:val="tabletext"/>
            </w:pPr>
            <w:r>
              <w:t>Statutory sexual offense with a child by an adult</w:t>
            </w:r>
          </w:p>
        </w:tc>
        <w:tc>
          <w:tcPr>
            <w:tcW w:w="3000" w:type="dxa"/>
            <w:tcMar>
              <w:top w:w="70" w:type="dxa"/>
              <w:left w:w="0" w:type="dxa"/>
              <w:bottom w:w="70" w:type="dxa"/>
              <w:right w:w="80" w:type="dxa"/>
            </w:tcMar>
          </w:tcPr>
          <w:p w14:paraId="2D260549" w14:textId="77777777" w:rsidR="00472DE3" w:rsidRDefault="003B6E00">
            <w:pPr>
              <w:pStyle w:val="tabletext"/>
            </w:pPr>
            <w:r>
              <w:t>Committed on/after 12/1/2015</w:t>
            </w:r>
          </w:p>
        </w:tc>
      </w:tr>
      <w:tr w:rsidR="00472DE3" w14:paraId="6FA603EA"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395D1492" w14:textId="77777777" w:rsidR="00472DE3" w:rsidRDefault="003B6E00">
            <w:pPr>
              <w:pStyle w:val="appendixtablesubhead"/>
            </w:pPr>
            <w:r>
              <w:t>14‑27.29</w:t>
            </w:r>
          </w:p>
        </w:tc>
        <w:tc>
          <w:tcPr>
            <w:tcW w:w="4799" w:type="dxa"/>
            <w:tcMar>
              <w:top w:w="70" w:type="dxa"/>
              <w:left w:w="0" w:type="dxa"/>
              <w:bottom w:w="70" w:type="dxa"/>
              <w:right w:w="160" w:type="dxa"/>
            </w:tcMar>
          </w:tcPr>
          <w:p w14:paraId="42EAF2F7" w14:textId="77777777" w:rsidR="00472DE3" w:rsidRDefault="003B6E00">
            <w:pPr>
              <w:pStyle w:val="tabletext"/>
            </w:pPr>
            <w:r>
              <w:t xml:space="preserve"> First‑degree statutory sexual offense</w:t>
            </w:r>
          </w:p>
        </w:tc>
        <w:tc>
          <w:tcPr>
            <w:tcW w:w="3000" w:type="dxa"/>
            <w:tcMar>
              <w:top w:w="70" w:type="dxa"/>
              <w:left w:w="0" w:type="dxa"/>
              <w:bottom w:w="70" w:type="dxa"/>
              <w:right w:w="80" w:type="dxa"/>
            </w:tcMar>
          </w:tcPr>
          <w:p w14:paraId="4A77C3F9" w14:textId="77777777" w:rsidR="00472DE3" w:rsidRDefault="003B6E00">
            <w:pPr>
              <w:pStyle w:val="tabletext"/>
            </w:pPr>
            <w:r>
              <w:t>Committed on/after 12/1/2015</w:t>
            </w:r>
          </w:p>
        </w:tc>
      </w:tr>
      <w:tr w:rsidR="00472DE3" w14:paraId="5724CD8D"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4EF12DC1" w14:textId="77777777" w:rsidR="00472DE3" w:rsidRDefault="003B6E00">
            <w:pPr>
              <w:pStyle w:val="appendixtablesubhead"/>
            </w:pPr>
            <w:r>
              <w:t>14‑27.30(a)</w:t>
            </w:r>
          </w:p>
        </w:tc>
        <w:tc>
          <w:tcPr>
            <w:tcW w:w="4799" w:type="dxa"/>
            <w:tcMar>
              <w:top w:w="70" w:type="dxa"/>
              <w:left w:w="0" w:type="dxa"/>
              <w:bottom w:w="70" w:type="dxa"/>
              <w:right w:w="160" w:type="dxa"/>
            </w:tcMar>
          </w:tcPr>
          <w:p w14:paraId="157527CC" w14:textId="77777777" w:rsidR="00472DE3" w:rsidRDefault="003B6E00">
            <w:pPr>
              <w:pStyle w:val="tabletext"/>
            </w:pPr>
            <w:r>
              <w:t xml:space="preserve">Statutory sexual offense with a person who is 15 years of age or </w:t>
            </w:r>
            <w:proofErr w:type="gramStart"/>
            <w:r>
              <w:t>younger</w:t>
            </w:r>
            <w:proofErr w:type="gramEnd"/>
            <w:r>
              <w:t xml:space="preserve"> and the defendant is at least six years older</w:t>
            </w:r>
          </w:p>
        </w:tc>
        <w:tc>
          <w:tcPr>
            <w:tcW w:w="3000" w:type="dxa"/>
            <w:tcMar>
              <w:top w:w="70" w:type="dxa"/>
              <w:left w:w="0" w:type="dxa"/>
              <w:bottom w:w="70" w:type="dxa"/>
              <w:right w:w="80" w:type="dxa"/>
            </w:tcMar>
          </w:tcPr>
          <w:p w14:paraId="4A84790D" w14:textId="77777777" w:rsidR="00472DE3" w:rsidRDefault="003B6E00">
            <w:pPr>
              <w:pStyle w:val="tabletext"/>
            </w:pPr>
            <w:r>
              <w:t>Committed on/after 12/1/2015</w:t>
            </w:r>
          </w:p>
        </w:tc>
      </w:tr>
      <w:tr w:rsidR="00472DE3" w14:paraId="2DBDE04D"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39EE6E4B" w14:textId="77777777" w:rsidR="00472DE3" w:rsidRDefault="003B6E00">
            <w:pPr>
              <w:pStyle w:val="appendixtablesubhead"/>
            </w:pPr>
            <w:r>
              <w:t>14‑27.31</w:t>
            </w:r>
          </w:p>
        </w:tc>
        <w:tc>
          <w:tcPr>
            <w:tcW w:w="4799" w:type="dxa"/>
            <w:tcMar>
              <w:top w:w="70" w:type="dxa"/>
              <w:left w:w="0" w:type="dxa"/>
              <w:bottom w:w="70" w:type="dxa"/>
              <w:right w:w="160" w:type="dxa"/>
            </w:tcMar>
          </w:tcPr>
          <w:p w14:paraId="0B0A0572" w14:textId="77777777" w:rsidR="00472DE3" w:rsidRDefault="003B6E00">
            <w:pPr>
              <w:pStyle w:val="tabletext"/>
            </w:pPr>
            <w:r>
              <w:t>Sexual activity by a substitute parent or custodian</w:t>
            </w:r>
          </w:p>
        </w:tc>
        <w:tc>
          <w:tcPr>
            <w:tcW w:w="3000" w:type="dxa"/>
            <w:tcMar>
              <w:top w:w="70" w:type="dxa"/>
              <w:left w:w="0" w:type="dxa"/>
              <w:bottom w:w="70" w:type="dxa"/>
              <w:right w:w="80" w:type="dxa"/>
            </w:tcMar>
          </w:tcPr>
          <w:p w14:paraId="1A7FA3DC" w14:textId="77777777" w:rsidR="00472DE3" w:rsidRDefault="003B6E00">
            <w:pPr>
              <w:pStyle w:val="tabletext"/>
            </w:pPr>
            <w:r>
              <w:t>Committed on/after 12/1/2015</w:t>
            </w:r>
          </w:p>
        </w:tc>
      </w:tr>
      <w:tr w:rsidR="00472DE3" w14:paraId="34999FA4"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6852B858" w14:textId="77777777" w:rsidR="00472DE3" w:rsidRDefault="003B6E00">
            <w:pPr>
              <w:pStyle w:val="appendixtablesubhead"/>
            </w:pPr>
            <w:r>
              <w:t>14‑27.32</w:t>
            </w:r>
          </w:p>
        </w:tc>
        <w:tc>
          <w:tcPr>
            <w:tcW w:w="4799" w:type="dxa"/>
            <w:tcMar>
              <w:top w:w="70" w:type="dxa"/>
              <w:left w:w="0" w:type="dxa"/>
              <w:bottom w:w="70" w:type="dxa"/>
              <w:right w:w="160" w:type="dxa"/>
            </w:tcMar>
          </w:tcPr>
          <w:p w14:paraId="48770805" w14:textId="77777777" w:rsidR="00472DE3" w:rsidRDefault="003B6E00">
            <w:pPr>
              <w:pStyle w:val="tabletext"/>
            </w:pPr>
            <w:r>
              <w:t>Sexual activity with a student</w:t>
            </w:r>
          </w:p>
        </w:tc>
        <w:tc>
          <w:tcPr>
            <w:tcW w:w="3000" w:type="dxa"/>
            <w:tcMar>
              <w:top w:w="70" w:type="dxa"/>
              <w:left w:w="0" w:type="dxa"/>
              <w:bottom w:w="70" w:type="dxa"/>
              <w:right w:w="80" w:type="dxa"/>
            </w:tcMar>
          </w:tcPr>
          <w:p w14:paraId="197B91EB" w14:textId="77777777" w:rsidR="00472DE3" w:rsidRDefault="003B6E00">
            <w:pPr>
              <w:pStyle w:val="tabletext"/>
            </w:pPr>
            <w:r>
              <w:t>Committed on/after 12/1/2015</w:t>
            </w:r>
          </w:p>
        </w:tc>
      </w:tr>
      <w:tr w:rsidR="00472DE3" w14:paraId="4EC9143C"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048E240F" w14:textId="77777777" w:rsidR="00472DE3" w:rsidRDefault="003B6E00">
            <w:pPr>
              <w:pStyle w:val="appendixtablesubhead"/>
            </w:pPr>
            <w:r>
              <w:t>14‑27.33</w:t>
            </w:r>
          </w:p>
        </w:tc>
        <w:tc>
          <w:tcPr>
            <w:tcW w:w="4799" w:type="dxa"/>
            <w:tcMar>
              <w:top w:w="70" w:type="dxa"/>
              <w:left w:w="0" w:type="dxa"/>
              <w:bottom w:w="70" w:type="dxa"/>
              <w:right w:w="160" w:type="dxa"/>
            </w:tcMar>
          </w:tcPr>
          <w:p w14:paraId="5C09FFE1" w14:textId="77777777" w:rsidR="00472DE3" w:rsidRDefault="003B6E00">
            <w:pPr>
              <w:pStyle w:val="tabletext"/>
            </w:pPr>
            <w:r>
              <w:t>Sexual battery</w:t>
            </w:r>
          </w:p>
        </w:tc>
        <w:tc>
          <w:tcPr>
            <w:tcW w:w="3000" w:type="dxa"/>
            <w:tcMar>
              <w:top w:w="70" w:type="dxa"/>
              <w:left w:w="0" w:type="dxa"/>
              <w:bottom w:w="70" w:type="dxa"/>
              <w:right w:w="80" w:type="dxa"/>
            </w:tcMar>
          </w:tcPr>
          <w:p w14:paraId="06AA4FEE" w14:textId="77777777" w:rsidR="00472DE3" w:rsidRDefault="003B6E00">
            <w:pPr>
              <w:pStyle w:val="tabletext"/>
            </w:pPr>
            <w:r>
              <w:t>Committed on/after 12/1/2015</w:t>
            </w:r>
          </w:p>
        </w:tc>
      </w:tr>
      <w:tr w:rsidR="00472DE3" w14:paraId="11F0B6E0"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131A132C" w14:textId="77777777" w:rsidR="00472DE3" w:rsidRDefault="003B6E00">
            <w:pPr>
              <w:pStyle w:val="appendixtablesubhead"/>
            </w:pPr>
            <w:r>
              <w:t>14‑43.11</w:t>
            </w:r>
          </w:p>
        </w:tc>
        <w:tc>
          <w:tcPr>
            <w:tcW w:w="4799" w:type="dxa"/>
            <w:tcMar>
              <w:top w:w="70" w:type="dxa"/>
              <w:left w:w="0" w:type="dxa"/>
              <w:bottom w:w="70" w:type="dxa"/>
              <w:right w:w="160" w:type="dxa"/>
            </w:tcMar>
          </w:tcPr>
          <w:p w14:paraId="6A5E3C80" w14:textId="77777777" w:rsidR="00472DE3" w:rsidRDefault="003B6E00">
            <w:pPr>
              <w:pStyle w:val="tabletext"/>
            </w:pPr>
            <w:r>
              <w:t>Human trafficking, if (1) the offense is committed against a minor who is less than 18 years of age or (2) the offense is committed against any person with the intent that they be held in sexual servitude</w:t>
            </w:r>
          </w:p>
        </w:tc>
        <w:tc>
          <w:tcPr>
            <w:tcW w:w="3000" w:type="dxa"/>
            <w:tcMar>
              <w:top w:w="70" w:type="dxa"/>
              <w:left w:w="0" w:type="dxa"/>
              <w:bottom w:w="70" w:type="dxa"/>
              <w:right w:w="80" w:type="dxa"/>
            </w:tcMar>
          </w:tcPr>
          <w:p w14:paraId="3C43D936" w14:textId="77777777" w:rsidR="00472DE3" w:rsidRDefault="003B6E00">
            <w:pPr>
              <w:pStyle w:val="tabletext"/>
            </w:pPr>
            <w:r>
              <w:t>Committed on/after 12/1/2013</w:t>
            </w:r>
          </w:p>
        </w:tc>
      </w:tr>
      <w:tr w:rsidR="00472DE3" w14:paraId="44306A77"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5AA46313" w14:textId="77777777" w:rsidR="00472DE3" w:rsidRDefault="003B6E00">
            <w:pPr>
              <w:pStyle w:val="appendixtablesubhead"/>
            </w:pPr>
            <w:r>
              <w:t>14‑43.13</w:t>
            </w:r>
          </w:p>
        </w:tc>
        <w:tc>
          <w:tcPr>
            <w:tcW w:w="4799" w:type="dxa"/>
            <w:tcMar>
              <w:top w:w="70" w:type="dxa"/>
              <w:left w:w="0" w:type="dxa"/>
              <w:bottom w:w="70" w:type="dxa"/>
              <w:right w:w="160" w:type="dxa"/>
            </w:tcMar>
          </w:tcPr>
          <w:p w14:paraId="6F79B67A" w14:textId="77777777" w:rsidR="00472DE3" w:rsidRDefault="003B6E00">
            <w:pPr>
              <w:pStyle w:val="tabletext"/>
            </w:pPr>
            <w:r>
              <w:t>Sexual servitude</w:t>
            </w:r>
          </w:p>
        </w:tc>
        <w:tc>
          <w:tcPr>
            <w:tcW w:w="3000" w:type="dxa"/>
            <w:tcMar>
              <w:top w:w="70" w:type="dxa"/>
              <w:left w:w="0" w:type="dxa"/>
              <w:bottom w:w="70" w:type="dxa"/>
              <w:right w:w="80" w:type="dxa"/>
            </w:tcMar>
          </w:tcPr>
          <w:p w14:paraId="2B5A59B6" w14:textId="77777777" w:rsidR="00472DE3" w:rsidRDefault="003B6E00">
            <w:pPr>
              <w:pStyle w:val="tabletext"/>
            </w:pPr>
            <w:r>
              <w:t>Committed on/after 12/1/2006</w:t>
            </w:r>
          </w:p>
        </w:tc>
      </w:tr>
      <w:tr w:rsidR="00472DE3" w14:paraId="3C1C960F"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10713EC9" w14:textId="77777777" w:rsidR="00472DE3" w:rsidRDefault="003B6E00">
            <w:pPr>
              <w:pStyle w:val="appendixtablesubhead"/>
            </w:pPr>
            <w:r>
              <w:t>14‑178</w:t>
            </w:r>
          </w:p>
        </w:tc>
        <w:tc>
          <w:tcPr>
            <w:tcW w:w="4799" w:type="dxa"/>
            <w:tcMar>
              <w:top w:w="70" w:type="dxa"/>
              <w:left w:w="0" w:type="dxa"/>
              <w:bottom w:w="70" w:type="dxa"/>
              <w:right w:w="160" w:type="dxa"/>
            </w:tcMar>
          </w:tcPr>
          <w:p w14:paraId="6382598B" w14:textId="77777777" w:rsidR="00472DE3" w:rsidRDefault="003B6E00">
            <w:pPr>
              <w:pStyle w:val="tabletext"/>
            </w:pPr>
            <w:r>
              <w:t>Incest between near relatives</w:t>
            </w:r>
          </w:p>
        </w:tc>
        <w:tc>
          <w:tcPr>
            <w:tcW w:w="3000" w:type="dxa"/>
            <w:tcMar>
              <w:top w:w="70" w:type="dxa"/>
              <w:left w:w="0" w:type="dxa"/>
              <w:bottom w:w="70" w:type="dxa"/>
              <w:right w:w="80" w:type="dxa"/>
            </w:tcMar>
          </w:tcPr>
          <w:p w14:paraId="1AB21000" w14:textId="77777777" w:rsidR="00472DE3" w:rsidRDefault="003B6E00">
            <w:pPr>
              <w:pStyle w:val="tabletext"/>
            </w:pPr>
            <w:r>
              <w:t>Convicted/released on/after 1/1/1996</w:t>
            </w:r>
          </w:p>
        </w:tc>
      </w:tr>
      <w:tr w:rsidR="00472DE3" w14:paraId="34925ED0"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FB590EC" w14:textId="77777777" w:rsidR="00472DE3" w:rsidRDefault="003B6E00">
            <w:pPr>
              <w:pStyle w:val="appendixtablesubhead"/>
            </w:pPr>
            <w:r>
              <w:t>14‑190.6</w:t>
            </w:r>
          </w:p>
        </w:tc>
        <w:tc>
          <w:tcPr>
            <w:tcW w:w="4799" w:type="dxa"/>
            <w:tcMar>
              <w:top w:w="70" w:type="dxa"/>
              <w:left w:w="0" w:type="dxa"/>
              <w:bottom w:w="70" w:type="dxa"/>
              <w:right w:w="160" w:type="dxa"/>
            </w:tcMar>
          </w:tcPr>
          <w:p w14:paraId="63856E8C" w14:textId="77777777" w:rsidR="00472DE3" w:rsidRDefault="003B6E00">
            <w:pPr>
              <w:pStyle w:val="tabletext"/>
            </w:pPr>
            <w:r>
              <w:t>Employing or permitting minor to assist in offenses against public morality and decency</w:t>
            </w:r>
          </w:p>
        </w:tc>
        <w:tc>
          <w:tcPr>
            <w:tcW w:w="3000" w:type="dxa"/>
            <w:tcMar>
              <w:top w:w="70" w:type="dxa"/>
              <w:left w:w="0" w:type="dxa"/>
              <w:bottom w:w="70" w:type="dxa"/>
              <w:right w:w="80" w:type="dxa"/>
            </w:tcMar>
          </w:tcPr>
          <w:p w14:paraId="10EECF46" w14:textId="77777777" w:rsidR="00472DE3" w:rsidRDefault="003B6E00">
            <w:pPr>
              <w:pStyle w:val="tabletext"/>
            </w:pPr>
            <w:r>
              <w:t>Convicted/released on/after 1/1/1996</w:t>
            </w:r>
          </w:p>
        </w:tc>
      </w:tr>
      <w:tr w:rsidR="00472DE3" w14:paraId="6053E1F5"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6E4C15BF" w14:textId="77777777" w:rsidR="00472DE3" w:rsidRDefault="003B6E00">
            <w:pPr>
              <w:pStyle w:val="appendixtablesubhead"/>
            </w:pPr>
            <w:r>
              <w:t>14‑190.9(a1)</w:t>
            </w:r>
          </w:p>
        </w:tc>
        <w:tc>
          <w:tcPr>
            <w:tcW w:w="4799" w:type="dxa"/>
            <w:tcMar>
              <w:top w:w="70" w:type="dxa"/>
              <w:left w:w="0" w:type="dxa"/>
              <w:bottom w:w="70" w:type="dxa"/>
              <w:right w:w="160" w:type="dxa"/>
            </w:tcMar>
          </w:tcPr>
          <w:p w14:paraId="77EB2576" w14:textId="77777777" w:rsidR="00472DE3" w:rsidRDefault="003B6E00">
            <w:pPr>
              <w:pStyle w:val="tabletext"/>
            </w:pPr>
            <w:r>
              <w:t>Felonious indecent exposure</w:t>
            </w:r>
          </w:p>
        </w:tc>
        <w:tc>
          <w:tcPr>
            <w:tcW w:w="3000" w:type="dxa"/>
            <w:tcMar>
              <w:top w:w="70" w:type="dxa"/>
              <w:left w:w="0" w:type="dxa"/>
              <w:bottom w:w="70" w:type="dxa"/>
              <w:right w:w="80" w:type="dxa"/>
            </w:tcMar>
          </w:tcPr>
          <w:p w14:paraId="1309216C" w14:textId="77777777" w:rsidR="00472DE3" w:rsidRDefault="003B6E00">
            <w:pPr>
              <w:pStyle w:val="tabletext"/>
            </w:pPr>
            <w:r>
              <w:t>Committed on/after 12/1/2005</w:t>
            </w:r>
          </w:p>
        </w:tc>
      </w:tr>
      <w:tr w:rsidR="00472DE3" w14:paraId="2C69695B"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0D1056EA" w14:textId="77777777" w:rsidR="00472DE3" w:rsidRDefault="003B6E00">
            <w:pPr>
              <w:pStyle w:val="appendixtablesubhead"/>
            </w:pPr>
            <w:r>
              <w:t>14‑190.16</w:t>
            </w:r>
          </w:p>
        </w:tc>
        <w:tc>
          <w:tcPr>
            <w:tcW w:w="4799" w:type="dxa"/>
            <w:tcMar>
              <w:top w:w="70" w:type="dxa"/>
              <w:left w:w="0" w:type="dxa"/>
              <w:bottom w:w="70" w:type="dxa"/>
              <w:right w:w="160" w:type="dxa"/>
            </w:tcMar>
          </w:tcPr>
          <w:p w14:paraId="46E2F97E" w14:textId="77777777" w:rsidR="00472DE3" w:rsidRDefault="003B6E00">
            <w:pPr>
              <w:pStyle w:val="tabletext"/>
            </w:pPr>
            <w:r>
              <w:t>First-degree sexual exploitation of a minor</w:t>
            </w:r>
          </w:p>
        </w:tc>
        <w:tc>
          <w:tcPr>
            <w:tcW w:w="3000" w:type="dxa"/>
            <w:tcMar>
              <w:top w:w="70" w:type="dxa"/>
              <w:left w:w="0" w:type="dxa"/>
              <w:bottom w:w="70" w:type="dxa"/>
              <w:right w:w="80" w:type="dxa"/>
            </w:tcMar>
          </w:tcPr>
          <w:p w14:paraId="0C8A303E" w14:textId="77777777" w:rsidR="00472DE3" w:rsidRDefault="003B6E00">
            <w:pPr>
              <w:pStyle w:val="tabletext"/>
            </w:pPr>
            <w:r>
              <w:t>Convicted/released on/after 1/1/1996</w:t>
            </w:r>
          </w:p>
        </w:tc>
      </w:tr>
      <w:tr w:rsidR="00472DE3" w14:paraId="72B4F3D1"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62FB8FB0" w14:textId="77777777" w:rsidR="00472DE3" w:rsidRDefault="003B6E00">
            <w:pPr>
              <w:pStyle w:val="appendixtablesubhead"/>
            </w:pPr>
            <w:r>
              <w:t>14‑190.17</w:t>
            </w:r>
          </w:p>
        </w:tc>
        <w:tc>
          <w:tcPr>
            <w:tcW w:w="4799" w:type="dxa"/>
            <w:tcMar>
              <w:top w:w="70" w:type="dxa"/>
              <w:left w:w="0" w:type="dxa"/>
              <w:bottom w:w="70" w:type="dxa"/>
              <w:right w:w="160" w:type="dxa"/>
            </w:tcMar>
          </w:tcPr>
          <w:p w14:paraId="67C445A7" w14:textId="77777777" w:rsidR="00472DE3" w:rsidRDefault="003B6E00">
            <w:pPr>
              <w:pStyle w:val="tabletext"/>
            </w:pPr>
            <w:r>
              <w:t>Second-degree sexual exploitation of a minor</w:t>
            </w:r>
          </w:p>
        </w:tc>
        <w:tc>
          <w:tcPr>
            <w:tcW w:w="3000" w:type="dxa"/>
            <w:tcMar>
              <w:top w:w="70" w:type="dxa"/>
              <w:left w:w="0" w:type="dxa"/>
              <w:bottom w:w="70" w:type="dxa"/>
              <w:right w:w="80" w:type="dxa"/>
            </w:tcMar>
          </w:tcPr>
          <w:p w14:paraId="6FB0F507" w14:textId="77777777" w:rsidR="00472DE3" w:rsidRDefault="003B6E00">
            <w:pPr>
              <w:pStyle w:val="tabletext"/>
            </w:pPr>
            <w:r>
              <w:t>Convicted/released on/after 1/1/1996</w:t>
            </w:r>
          </w:p>
        </w:tc>
      </w:tr>
      <w:tr w:rsidR="00472DE3" w14:paraId="1A3C050F"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2FA96E2" w14:textId="77777777" w:rsidR="00472DE3" w:rsidRDefault="003B6E00">
            <w:pPr>
              <w:pStyle w:val="appendixtablesubhead"/>
            </w:pPr>
            <w:r>
              <w:t>14‑190.17A</w:t>
            </w:r>
          </w:p>
        </w:tc>
        <w:tc>
          <w:tcPr>
            <w:tcW w:w="4799" w:type="dxa"/>
            <w:tcMar>
              <w:top w:w="70" w:type="dxa"/>
              <w:left w:w="0" w:type="dxa"/>
              <w:bottom w:w="70" w:type="dxa"/>
              <w:right w:w="160" w:type="dxa"/>
            </w:tcMar>
          </w:tcPr>
          <w:p w14:paraId="027B1C9E" w14:textId="77777777" w:rsidR="00472DE3" w:rsidRDefault="003B6E00">
            <w:pPr>
              <w:pStyle w:val="tabletext"/>
            </w:pPr>
            <w:r>
              <w:t>Third-degree sexual exploitation of a minor</w:t>
            </w:r>
          </w:p>
        </w:tc>
        <w:tc>
          <w:tcPr>
            <w:tcW w:w="3000" w:type="dxa"/>
            <w:tcMar>
              <w:top w:w="70" w:type="dxa"/>
              <w:left w:w="0" w:type="dxa"/>
              <w:bottom w:w="70" w:type="dxa"/>
              <w:right w:w="80" w:type="dxa"/>
            </w:tcMar>
          </w:tcPr>
          <w:p w14:paraId="48059BEF" w14:textId="77777777" w:rsidR="00472DE3" w:rsidRDefault="003B6E00">
            <w:pPr>
              <w:pStyle w:val="tabletext"/>
            </w:pPr>
            <w:r>
              <w:t>Convicted/released on/after 1/1/1996</w:t>
            </w:r>
          </w:p>
        </w:tc>
      </w:tr>
      <w:tr w:rsidR="00472DE3" w14:paraId="0B0296D4"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0B9AC3C7" w14:textId="77777777" w:rsidR="00472DE3" w:rsidRDefault="003B6E00">
            <w:pPr>
              <w:pStyle w:val="appendixtablesubhead"/>
            </w:pPr>
            <w:r>
              <w:t>14‑190.17C</w:t>
            </w:r>
          </w:p>
        </w:tc>
        <w:tc>
          <w:tcPr>
            <w:tcW w:w="4799" w:type="dxa"/>
            <w:tcMar>
              <w:top w:w="70" w:type="dxa"/>
              <w:left w:w="0" w:type="dxa"/>
              <w:bottom w:w="70" w:type="dxa"/>
              <w:right w:w="139" w:type="dxa"/>
            </w:tcMar>
          </w:tcPr>
          <w:p w14:paraId="4B556D07" w14:textId="77777777" w:rsidR="00472DE3" w:rsidRDefault="003B6E00">
            <w:pPr>
              <w:pStyle w:val="tabletext"/>
            </w:pPr>
            <w:r>
              <w:t>Obscene visual representation of sexual exploitation of a minor</w:t>
            </w:r>
          </w:p>
        </w:tc>
        <w:tc>
          <w:tcPr>
            <w:tcW w:w="3000" w:type="dxa"/>
            <w:tcMar>
              <w:top w:w="70" w:type="dxa"/>
              <w:left w:w="0" w:type="dxa"/>
              <w:bottom w:w="70" w:type="dxa"/>
              <w:right w:w="80" w:type="dxa"/>
            </w:tcMar>
          </w:tcPr>
          <w:p w14:paraId="2744872D" w14:textId="77777777" w:rsidR="00472DE3" w:rsidRDefault="003B6E00">
            <w:pPr>
              <w:pStyle w:val="tabletext"/>
            </w:pPr>
            <w:r>
              <w:t>Committed on/after 12/1/2024</w:t>
            </w:r>
          </w:p>
        </w:tc>
      </w:tr>
      <w:tr w:rsidR="00472DE3" w14:paraId="65790900"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7D60EF72" w14:textId="77777777" w:rsidR="00472DE3" w:rsidRDefault="003B6E00">
            <w:pPr>
              <w:pStyle w:val="appendixtablesubhead"/>
            </w:pPr>
            <w:r>
              <w:t>14‑202.1</w:t>
            </w:r>
          </w:p>
        </w:tc>
        <w:tc>
          <w:tcPr>
            <w:tcW w:w="4799" w:type="dxa"/>
            <w:tcMar>
              <w:top w:w="70" w:type="dxa"/>
              <w:left w:w="0" w:type="dxa"/>
              <w:bottom w:w="70" w:type="dxa"/>
              <w:right w:w="160" w:type="dxa"/>
            </w:tcMar>
          </w:tcPr>
          <w:p w14:paraId="0ACEDD9B" w14:textId="77777777" w:rsidR="00472DE3" w:rsidRDefault="003B6E00">
            <w:pPr>
              <w:pStyle w:val="tabletext"/>
            </w:pPr>
            <w:r>
              <w:t>Taking indecent liberties with children</w:t>
            </w:r>
          </w:p>
        </w:tc>
        <w:tc>
          <w:tcPr>
            <w:tcW w:w="3000" w:type="dxa"/>
            <w:tcMar>
              <w:top w:w="70" w:type="dxa"/>
              <w:left w:w="0" w:type="dxa"/>
              <w:bottom w:w="70" w:type="dxa"/>
              <w:right w:w="80" w:type="dxa"/>
            </w:tcMar>
          </w:tcPr>
          <w:p w14:paraId="3D183A15" w14:textId="77777777" w:rsidR="00472DE3" w:rsidRDefault="003B6E00">
            <w:pPr>
              <w:pStyle w:val="tabletext"/>
            </w:pPr>
            <w:r>
              <w:t>Convicted/released on/after 1/1/1996</w:t>
            </w:r>
          </w:p>
        </w:tc>
      </w:tr>
      <w:tr w:rsidR="00472DE3" w14:paraId="6C33C8F8"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6F5B28E0" w14:textId="77777777" w:rsidR="00472DE3" w:rsidRDefault="003B6E00">
            <w:pPr>
              <w:pStyle w:val="appendixtablesubhead"/>
            </w:pPr>
            <w:r>
              <w:lastRenderedPageBreak/>
              <w:t>14‑202.3</w:t>
            </w:r>
          </w:p>
        </w:tc>
        <w:tc>
          <w:tcPr>
            <w:tcW w:w="4799" w:type="dxa"/>
            <w:tcMar>
              <w:top w:w="70" w:type="dxa"/>
              <w:left w:w="0" w:type="dxa"/>
              <w:bottom w:w="70" w:type="dxa"/>
              <w:right w:w="160" w:type="dxa"/>
            </w:tcMar>
          </w:tcPr>
          <w:p w14:paraId="173C1E73" w14:textId="77777777" w:rsidR="00472DE3" w:rsidRDefault="003B6E00">
            <w:pPr>
              <w:pStyle w:val="tabletext"/>
            </w:pPr>
            <w:r>
              <w:t>Solicitation of child by computer or certain other electronic devices to commit an unlawful sex act</w:t>
            </w:r>
          </w:p>
        </w:tc>
        <w:tc>
          <w:tcPr>
            <w:tcW w:w="3000" w:type="dxa"/>
            <w:tcMar>
              <w:top w:w="70" w:type="dxa"/>
              <w:left w:w="0" w:type="dxa"/>
              <w:bottom w:w="70" w:type="dxa"/>
              <w:right w:w="80" w:type="dxa"/>
            </w:tcMar>
          </w:tcPr>
          <w:p w14:paraId="7868EC07" w14:textId="77777777" w:rsidR="00472DE3" w:rsidRDefault="003B6E00">
            <w:pPr>
              <w:pStyle w:val="tabletext"/>
            </w:pPr>
            <w:r>
              <w:t>Committed on/after 12/1/2005</w:t>
            </w:r>
          </w:p>
        </w:tc>
      </w:tr>
      <w:tr w:rsidR="00472DE3" w14:paraId="2DE8FBA1"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19B1B8AC" w14:textId="77777777" w:rsidR="00472DE3" w:rsidRDefault="003B6E00">
            <w:pPr>
              <w:pStyle w:val="appendixtablesubhead"/>
            </w:pPr>
            <w:r>
              <w:t>14‑202.4(a)</w:t>
            </w:r>
          </w:p>
        </w:tc>
        <w:tc>
          <w:tcPr>
            <w:tcW w:w="4799" w:type="dxa"/>
            <w:tcMar>
              <w:top w:w="70" w:type="dxa"/>
              <w:left w:w="0" w:type="dxa"/>
              <w:bottom w:w="70" w:type="dxa"/>
              <w:right w:w="160" w:type="dxa"/>
            </w:tcMar>
          </w:tcPr>
          <w:p w14:paraId="52066B96" w14:textId="77777777" w:rsidR="00472DE3" w:rsidRDefault="003B6E00">
            <w:pPr>
              <w:pStyle w:val="tabletext"/>
            </w:pPr>
            <w:r>
              <w:t>Taking indecent liberties with a student</w:t>
            </w:r>
          </w:p>
        </w:tc>
        <w:tc>
          <w:tcPr>
            <w:tcW w:w="3000" w:type="dxa"/>
            <w:tcMar>
              <w:top w:w="70" w:type="dxa"/>
              <w:left w:w="0" w:type="dxa"/>
              <w:bottom w:w="70" w:type="dxa"/>
              <w:right w:w="80" w:type="dxa"/>
            </w:tcMar>
          </w:tcPr>
          <w:p w14:paraId="5B5A2FCF" w14:textId="77777777" w:rsidR="00472DE3" w:rsidRDefault="003B6E00">
            <w:pPr>
              <w:pStyle w:val="tabletext"/>
            </w:pPr>
            <w:r>
              <w:t>Convicted/released on/after 12/1/2009</w:t>
            </w:r>
          </w:p>
        </w:tc>
      </w:tr>
      <w:tr w:rsidR="00472DE3" w14:paraId="5B8F9E18"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5E0A2AC0" w14:textId="77777777" w:rsidR="00472DE3" w:rsidRDefault="003B6E00">
            <w:pPr>
              <w:pStyle w:val="appendixtablesubhead"/>
            </w:pPr>
            <w:r>
              <w:t>14‑205.2(c) or (d)</w:t>
            </w:r>
          </w:p>
        </w:tc>
        <w:tc>
          <w:tcPr>
            <w:tcW w:w="4799" w:type="dxa"/>
            <w:tcMar>
              <w:top w:w="70" w:type="dxa"/>
              <w:left w:w="0" w:type="dxa"/>
              <w:bottom w:w="70" w:type="dxa"/>
              <w:right w:w="160" w:type="dxa"/>
            </w:tcMar>
          </w:tcPr>
          <w:p w14:paraId="4716EABB" w14:textId="77777777" w:rsidR="00472DE3" w:rsidRDefault="003B6E00">
            <w:pPr>
              <w:pStyle w:val="tabletext"/>
            </w:pPr>
            <w:r>
              <w:t>Patronizing a prostitute who is a minor or has a mental disability</w:t>
            </w:r>
          </w:p>
        </w:tc>
        <w:tc>
          <w:tcPr>
            <w:tcW w:w="3000" w:type="dxa"/>
            <w:tcMar>
              <w:top w:w="70" w:type="dxa"/>
              <w:left w:w="0" w:type="dxa"/>
              <w:bottom w:w="70" w:type="dxa"/>
              <w:right w:w="80" w:type="dxa"/>
            </w:tcMar>
          </w:tcPr>
          <w:p w14:paraId="5537DFC0" w14:textId="77777777" w:rsidR="00472DE3" w:rsidRDefault="003B6E00">
            <w:pPr>
              <w:pStyle w:val="tabletext"/>
            </w:pPr>
            <w:r>
              <w:t>Committed on/after 10/1/2013</w:t>
            </w:r>
          </w:p>
        </w:tc>
      </w:tr>
      <w:tr w:rsidR="00472DE3" w14:paraId="63B052D5"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FB0D44A" w14:textId="77777777" w:rsidR="00472DE3" w:rsidRDefault="003B6E00">
            <w:pPr>
              <w:pStyle w:val="appendixtablesubhead"/>
            </w:pPr>
            <w:r>
              <w:t>14‑205.3(b)</w:t>
            </w:r>
          </w:p>
        </w:tc>
        <w:tc>
          <w:tcPr>
            <w:tcW w:w="4799" w:type="dxa"/>
            <w:tcMar>
              <w:top w:w="70" w:type="dxa"/>
              <w:left w:w="0" w:type="dxa"/>
              <w:bottom w:w="70" w:type="dxa"/>
              <w:right w:w="160" w:type="dxa"/>
            </w:tcMar>
          </w:tcPr>
          <w:p w14:paraId="2DCCDEFE" w14:textId="77777777" w:rsidR="00472DE3" w:rsidRDefault="003B6E00">
            <w:pPr>
              <w:pStyle w:val="tabletext"/>
            </w:pPr>
            <w:r>
              <w:t>Promoting prostitution of a minor or a person who has a mental disability</w:t>
            </w:r>
          </w:p>
        </w:tc>
        <w:tc>
          <w:tcPr>
            <w:tcW w:w="3000" w:type="dxa"/>
            <w:tcMar>
              <w:top w:w="70" w:type="dxa"/>
              <w:left w:w="0" w:type="dxa"/>
              <w:bottom w:w="70" w:type="dxa"/>
              <w:right w:w="80" w:type="dxa"/>
            </w:tcMar>
          </w:tcPr>
          <w:p w14:paraId="27939463" w14:textId="77777777" w:rsidR="00472DE3" w:rsidRDefault="003B6E00">
            <w:pPr>
              <w:pStyle w:val="tabletext"/>
            </w:pPr>
            <w:r>
              <w:t>Committed on/after 10/1/2013</w:t>
            </w:r>
          </w:p>
        </w:tc>
      </w:tr>
      <w:tr w:rsidR="00472DE3" w14:paraId="4E4B7164"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7E66B068" w14:textId="77777777" w:rsidR="00472DE3" w:rsidRDefault="003B6E00">
            <w:pPr>
              <w:pStyle w:val="appendixtablesubhead"/>
            </w:pPr>
            <w:r>
              <w:t>14‑318.4(a1)</w:t>
            </w:r>
          </w:p>
        </w:tc>
        <w:tc>
          <w:tcPr>
            <w:tcW w:w="4799" w:type="dxa"/>
            <w:tcMar>
              <w:top w:w="70" w:type="dxa"/>
              <w:left w:w="0" w:type="dxa"/>
              <w:bottom w:w="70" w:type="dxa"/>
              <w:right w:w="160" w:type="dxa"/>
            </w:tcMar>
          </w:tcPr>
          <w:p w14:paraId="448A8FB9" w14:textId="77777777" w:rsidR="00472DE3" w:rsidRDefault="003B6E00">
            <w:pPr>
              <w:pStyle w:val="tabletext"/>
            </w:pPr>
            <w:r>
              <w:t>Child abuse—prostitution</w:t>
            </w:r>
          </w:p>
        </w:tc>
        <w:tc>
          <w:tcPr>
            <w:tcW w:w="3000" w:type="dxa"/>
            <w:tcMar>
              <w:top w:w="70" w:type="dxa"/>
              <w:left w:w="0" w:type="dxa"/>
              <w:bottom w:w="70" w:type="dxa"/>
              <w:right w:w="80" w:type="dxa"/>
            </w:tcMar>
          </w:tcPr>
          <w:p w14:paraId="12B8957C" w14:textId="77777777" w:rsidR="00472DE3" w:rsidRDefault="003B6E00">
            <w:pPr>
              <w:pStyle w:val="tabletext"/>
            </w:pPr>
            <w:r>
              <w:t>Convicted/released on/after 12/1/2008</w:t>
            </w:r>
          </w:p>
        </w:tc>
      </w:tr>
      <w:tr w:rsidR="00472DE3" w14:paraId="1F12B4D8"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3F49DDC6" w14:textId="77777777" w:rsidR="00472DE3" w:rsidRDefault="003B6E00">
            <w:pPr>
              <w:pStyle w:val="appendixtablesubhead"/>
            </w:pPr>
            <w:r>
              <w:t>14‑318.4(a2)</w:t>
            </w:r>
          </w:p>
        </w:tc>
        <w:tc>
          <w:tcPr>
            <w:tcW w:w="4799" w:type="dxa"/>
            <w:tcMar>
              <w:top w:w="70" w:type="dxa"/>
              <w:left w:w="0" w:type="dxa"/>
              <w:bottom w:w="70" w:type="dxa"/>
              <w:right w:w="160" w:type="dxa"/>
            </w:tcMar>
          </w:tcPr>
          <w:p w14:paraId="0FCDC39C" w14:textId="77777777" w:rsidR="00472DE3" w:rsidRDefault="003B6E00">
            <w:pPr>
              <w:pStyle w:val="tabletext"/>
            </w:pPr>
            <w:r>
              <w:t>Child abuse—sexual act</w:t>
            </w:r>
          </w:p>
        </w:tc>
        <w:tc>
          <w:tcPr>
            <w:tcW w:w="3000" w:type="dxa"/>
            <w:tcMar>
              <w:top w:w="70" w:type="dxa"/>
              <w:left w:w="0" w:type="dxa"/>
              <w:bottom w:w="70" w:type="dxa"/>
              <w:right w:w="80" w:type="dxa"/>
            </w:tcMar>
          </w:tcPr>
          <w:p w14:paraId="63D5E082" w14:textId="77777777" w:rsidR="00472DE3" w:rsidRDefault="003B6E00">
            <w:pPr>
              <w:pStyle w:val="tabletext"/>
            </w:pPr>
            <w:r>
              <w:t>Convicted/released on/after 12/1/2008</w:t>
            </w:r>
          </w:p>
        </w:tc>
      </w:tr>
      <w:tr w:rsidR="00472DE3" w14:paraId="34317279"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2BB07F3D" w14:textId="77777777" w:rsidR="00472DE3" w:rsidRDefault="003B6E00">
            <w:pPr>
              <w:pStyle w:val="appendixtablesubhead"/>
            </w:pPr>
            <w:r>
              <w:t>14‑27.6</w:t>
            </w:r>
          </w:p>
        </w:tc>
        <w:tc>
          <w:tcPr>
            <w:tcW w:w="4799" w:type="dxa"/>
            <w:tcMar>
              <w:top w:w="70" w:type="dxa"/>
              <w:left w:w="0" w:type="dxa"/>
              <w:bottom w:w="70" w:type="dxa"/>
              <w:right w:w="160" w:type="dxa"/>
            </w:tcMar>
          </w:tcPr>
          <w:p w14:paraId="2D0E068D" w14:textId="77777777" w:rsidR="00472DE3" w:rsidRDefault="003B6E00">
            <w:pPr>
              <w:pStyle w:val="tabletext"/>
            </w:pPr>
            <w:r>
              <w:t>Former attempted rape or sexual offense</w:t>
            </w:r>
          </w:p>
        </w:tc>
        <w:tc>
          <w:tcPr>
            <w:tcW w:w="3000" w:type="dxa"/>
            <w:tcMar>
              <w:top w:w="70" w:type="dxa"/>
              <w:left w:w="0" w:type="dxa"/>
              <w:bottom w:w="70" w:type="dxa"/>
              <w:right w:w="80" w:type="dxa"/>
            </w:tcMar>
          </w:tcPr>
          <w:p w14:paraId="0E1E1C54" w14:textId="77777777" w:rsidR="00472DE3" w:rsidRDefault="003B6E00">
            <w:pPr>
              <w:pStyle w:val="tabletext"/>
            </w:pPr>
            <w:r>
              <w:t>Convicted/released on/after 1/1/1996</w:t>
            </w:r>
          </w:p>
        </w:tc>
      </w:tr>
      <w:tr w:rsidR="00472DE3" w14:paraId="7A674AB8"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68014905" w14:textId="77777777" w:rsidR="00472DE3" w:rsidRDefault="003B6E00">
            <w:pPr>
              <w:pStyle w:val="appendixtablesubhead"/>
            </w:pPr>
            <w:r>
              <w:t>14-27.2</w:t>
            </w:r>
          </w:p>
        </w:tc>
        <w:tc>
          <w:tcPr>
            <w:tcW w:w="4799" w:type="dxa"/>
            <w:tcMar>
              <w:top w:w="70" w:type="dxa"/>
              <w:left w:w="0" w:type="dxa"/>
              <w:bottom w:w="70" w:type="dxa"/>
              <w:right w:w="160" w:type="dxa"/>
            </w:tcMar>
          </w:tcPr>
          <w:p w14:paraId="145B4672" w14:textId="77777777" w:rsidR="00472DE3" w:rsidRDefault="003B6E00">
            <w:pPr>
              <w:pStyle w:val="tabletext"/>
            </w:pPr>
            <w:r>
              <w:t>Former first-degree rape</w:t>
            </w:r>
          </w:p>
        </w:tc>
        <w:tc>
          <w:tcPr>
            <w:tcW w:w="3000" w:type="dxa"/>
            <w:tcMar>
              <w:top w:w="70" w:type="dxa"/>
              <w:left w:w="0" w:type="dxa"/>
              <w:bottom w:w="70" w:type="dxa"/>
              <w:right w:w="80" w:type="dxa"/>
            </w:tcMar>
          </w:tcPr>
          <w:p w14:paraId="0CAA4009" w14:textId="77777777" w:rsidR="00472DE3" w:rsidRDefault="003B6E00">
            <w:pPr>
              <w:pStyle w:val="tabletext"/>
            </w:pPr>
            <w:r>
              <w:t>Convicted/released on/after 1/1/1996</w:t>
            </w:r>
          </w:p>
        </w:tc>
      </w:tr>
      <w:tr w:rsidR="00472DE3" w14:paraId="393A828F"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67AA708C" w14:textId="77777777" w:rsidR="00472DE3" w:rsidRDefault="003B6E00">
            <w:pPr>
              <w:pStyle w:val="appendixtablesubhead"/>
            </w:pPr>
            <w:r>
              <w:t>14-27.2A</w:t>
            </w:r>
          </w:p>
        </w:tc>
        <w:tc>
          <w:tcPr>
            <w:tcW w:w="4799" w:type="dxa"/>
            <w:tcMar>
              <w:top w:w="70" w:type="dxa"/>
              <w:left w:w="0" w:type="dxa"/>
              <w:bottom w:w="70" w:type="dxa"/>
              <w:right w:w="160" w:type="dxa"/>
            </w:tcMar>
          </w:tcPr>
          <w:p w14:paraId="10ACA6DE" w14:textId="77777777" w:rsidR="00472DE3" w:rsidRDefault="003B6E00">
            <w:pPr>
              <w:pStyle w:val="tabletext"/>
            </w:pPr>
            <w:r>
              <w:t>Former rape of a child by an adult offender</w:t>
            </w:r>
          </w:p>
        </w:tc>
        <w:tc>
          <w:tcPr>
            <w:tcW w:w="3000" w:type="dxa"/>
            <w:tcMar>
              <w:top w:w="70" w:type="dxa"/>
              <w:left w:w="0" w:type="dxa"/>
              <w:bottom w:w="70" w:type="dxa"/>
              <w:right w:w="80" w:type="dxa"/>
            </w:tcMar>
          </w:tcPr>
          <w:p w14:paraId="4A8A5DBA" w14:textId="77777777" w:rsidR="00472DE3" w:rsidRDefault="003B6E00">
            <w:pPr>
              <w:pStyle w:val="tabletext"/>
            </w:pPr>
            <w:r>
              <w:t>Committed on/after 12/1/2008</w:t>
            </w:r>
          </w:p>
        </w:tc>
      </w:tr>
      <w:tr w:rsidR="00472DE3" w14:paraId="4A72B428"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14AF8790" w14:textId="77777777" w:rsidR="00472DE3" w:rsidRDefault="003B6E00">
            <w:pPr>
              <w:pStyle w:val="appendixtablesubhead"/>
            </w:pPr>
            <w:r>
              <w:t>14-27.3</w:t>
            </w:r>
          </w:p>
        </w:tc>
        <w:tc>
          <w:tcPr>
            <w:tcW w:w="4799" w:type="dxa"/>
            <w:tcMar>
              <w:top w:w="70" w:type="dxa"/>
              <w:left w:w="0" w:type="dxa"/>
              <w:bottom w:w="70" w:type="dxa"/>
              <w:right w:w="160" w:type="dxa"/>
            </w:tcMar>
          </w:tcPr>
          <w:p w14:paraId="2CF04A19" w14:textId="77777777" w:rsidR="00472DE3" w:rsidRDefault="003B6E00">
            <w:pPr>
              <w:pStyle w:val="tabletext"/>
            </w:pPr>
            <w:r>
              <w:t>Former second-degree rape</w:t>
            </w:r>
          </w:p>
        </w:tc>
        <w:tc>
          <w:tcPr>
            <w:tcW w:w="3000" w:type="dxa"/>
            <w:tcMar>
              <w:top w:w="70" w:type="dxa"/>
              <w:left w:w="0" w:type="dxa"/>
              <w:bottom w:w="70" w:type="dxa"/>
              <w:right w:w="80" w:type="dxa"/>
            </w:tcMar>
          </w:tcPr>
          <w:p w14:paraId="1957700F" w14:textId="77777777" w:rsidR="00472DE3" w:rsidRDefault="003B6E00">
            <w:pPr>
              <w:pStyle w:val="tabletext"/>
            </w:pPr>
            <w:r>
              <w:t>Convicted/released on/after 1/1/1996</w:t>
            </w:r>
          </w:p>
        </w:tc>
      </w:tr>
      <w:tr w:rsidR="00472DE3" w14:paraId="081A2C0F"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2D765207" w14:textId="77777777" w:rsidR="00472DE3" w:rsidRDefault="003B6E00">
            <w:pPr>
              <w:pStyle w:val="appendixtablesubhead"/>
            </w:pPr>
            <w:r>
              <w:t>14-27.4</w:t>
            </w:r>
          </w:p>
        </w:tc>
        <w:tc>
          <w:tcPr>
            <w:tcW w:w="4799" w:type="dxa"/>
            <w:tcMar>
              <w:top w:w="70" w:type="dxa"/>
              <w:left w:w="0" w:type="dxa"/>
              <w:bottom w:w="70" w:type="dxa"/>
              <w:right w:w="160" w:type="dxa"/>
            </w:tcMar>
          </w:tcPr>
          <w:p w14:paraId="2F3594CF" w14:textId="77777777" w:rsidR="00472DE3" w:rsidRDefault="003B6E00">
            <w:pPr>
              <w:pStyle w:val="tabletext"/>
            </w:pPr>
            <w:r>
              <w:t>Former first-degree sexual offense</w:t>
            </w:r>
          </w:p>
        </w:tc>
        <w:tc>
          <w:tcPr>
            <w:tcW w:w="3000" w:type="dxa"/>
            <w:tcMar>
              <w:top w:w="70" w:type="dxa"/>
              <w:left w:w="0" w:type="dxa"/>
              <w:bottom w:w="70" w:type="dxa"/>
              <w:right w:w="80" w:type="dxa"/>
            </w:tcMar>
          </w:tcPr>
          <w:p w14:paraId="359AA0DE" w14:textId="77777777" w:rsidR="00472DE3" w:rsidRDefault="003B6E00">
            <w:pPr>
              <w:pStyle w:val="tabletext"/>
            </w:pPr>
            <w:r>
              <w:t>Convicted/released on/after 1/1/1996</w:t>
            </w:r>
          </w:p>
        </w:tc>
      </w:tr>
      <w:tr w:rsidR="00472DE3" w14:paraId="347988D9"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6F18F2E5" w14:textId="77777777" w:rsidR="00472DE3" w:rsidRDefault="003B6E00">
            <w:pPr>
              <w:pStyle w:val="appendixtablesubhead"/>
            </w:pPr>
            <w:r>
              <w:t>14-27.4A</w:t>
            </w:r>
          </w:p>
        </w:tc>
        <w:tc>
          <w:tcPr>
            <w:tcW w:w="4799" w:type="dxa"/>
            <w:tcMar>
              <w:top w:w="70" w:type="dxa"/>
              <w:left w:w="0" w:type="dxa"/>
              <w:bottom w:w="70" w:type="dxa"/>
              <w:right w:w="160" w:type="dxa"/>
            </w:tcMar>
          </w:tcPr>
          <w:p w14:paraId="2B2B24EB" w14:textId="77777777" w:rsidR="00472DE3" w:rsidRDefault="003B6E00">
            <w:pPr>
              <w:pStyle w:val="tabletext"/>
            </w:pPr>
            <w:r>
              <w:t>Former sexual offense with a child by an adult offender</w:t>
            </w:r>
          </w:p>
        </w:tc>
        <w:tc>
          <w:tcPr>
            <w:tcW w:w="3000" w:type="dxa"/>
            <w:tcMar>
              <w:top w:w="70" w:type="dxa"/>
              <w:left w:w="0" w:type="dxa"/>
              <w:bottom w:w="70" w:type="dxa"/>
              <w:right w:w="80" w:type="dxa"/>
            </w:tcMar>
          </w:tcPr>
          <w:p w14:paraId="31340A3D" w14:textId="77777777" w:rsidR="00472DE3" w:rsidRDefault="003B6E00">
            <w:pPr>
              <w:pStyle w:val="tabletext"/>
            </w:pPr>
            <w:r>
              <w:t>Committed on/after 12/1/2008</w:t>
            </w:r>
          </w:p>
        </w:tc>
      </w:tr>
      <w:tr w:rsidR="00472DE3" w14:paraId="66DBF9AD"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3583B9A2" w14:textId="77777777" w:rsidR="00472DE3" w:rsidRDefault="003B6E00">
            <w:pPr>
              <w:pStyle w:val="appendixtablesubhead"/>
            </w:pPr>
            <w:r>
              <w:t>14-27.5</w:t>
            </w:r>
          </w:p>
        </w:tc>
        <w:tc>
          <w:tcPr>
            <w:tcW w:w="4799" w:type="dxa"/>
            <w:tcMar>
              <w:top w:w="70" w:type="dxa"/>
              <w:left w:w="0" w:type="dxa"/>
              <w:bottom w:w="70" w:type="dxa"/>
              <w:right w:w="160" w:type="dxa"/>
            </w:tcMar>
          </w:tcPr>
          <w:p w14:paraId="19755CA9" w14:textId="77777777" w:rsidR="00472DE3" w:rsidRDefault="003B6E00">
            <w:pPr>
              <w:pStyle w:val="tabletext"/>
            </w:pPr>
            <w:r>
              <w:t>Former second-degree sexual offense</w:t>
            </w:r>
          </w:p>
        </w:tc>
        <w:tc>
          <w:tcPr>
            <w:tcW w:w="3000" w:type="dxa"/>
            <w:tcMar>
              <w:top w:w="70" w:type="dxa"/>
              <w:left w:w="0" w:type="dxa"/>
              <w:bottom w:w="70" w:type="dxa"/>
              <w:right w:w="80" w:type="dxa"/>
            </w:tcMar>
          </w:tcPr>
          <w:p w14:paraId="46708CF2" w14:textId="77777777" w:rsidR="00472DE3" w:rsidRDefault="003B6E00">
            <w:pPr>
              <w:pStyle w:val="tabletext"/>
            </w:pPr>
            <w:r>
              <w:t>Convicted/released on/after 1/1/1996</w:t>
            </w:r>
          </w:p>
        </w:tc>
      </w:tr>
      <w:tr w:rsidR="00472DE3" w14:paraId="456704E5"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00652EB" w14:textId="77777777" w:rsidR="00472DE3" w:rsidRDefault="003B6E00">
            <w:pPr>
              <w:pStyle w:val="appendixtablesubhead"/>
            </w:pPr>
            <w:r>
              <w:t>14-27.5A</w:t>
            </w:r>
          </w:p>
        </w:tc>
        <w:tc>
          <w:tcPr>
            <w:tcW w:w="4799" w:type="dxa"/>
            <w:tcMar>
              <w:top w:w="70" w:type="dxa"/>
              <w:left w:w="0" w:type="dxa"/>
              <w:bottom w:w="70" w:type="dxa"/>
              <w:right w:w="160" w:type="dxa"/>
            </w:tcMar>
          </w:tcPr>
          <w:p w14:paraId="2DA7B885" w14:textId="77777777" w:rsidR="00472DE3" w:rsidRDefault="003B6E00">
            <w:pPr>
              <w:pStyle w:val="tabletext"/>
            </w:pPr>
            <w:r>
              <w:t>Former sexual battery</w:t>
            </w:r>
          </w:p>
        </w:tc>
        <w:tc>
          <w:tcPr>
            <w:tcW w:w="3000" w:type="dxa"/>
            <w:tcMar>
              <w:top w:w="70" w:type="dxa"/>
              <w:left w:w="0" w:type="dxa"/>
              <w:bottom w:w="70" w:type="dxa"/>
              <w:right w:w="80" w:type="dxa"/>
            </w:tcMar>
          </w:tcPr>
          <w:p w14:paraId="165E942B" w14:textId="77777777" w:rsidR="00472DE3" w:rsidRDefault="003B6E00">
            <w:pPr>
              <w:pStyle w:val="tabletext"/>
            </w:pPr>
            <w:r>
              <w:t>Committed on/after 12/1/2005</w:t>
            </w:r>
          </w:p>
        </w:tc>
      </w:tr>
      <w:tr w:rsidR="00472DE3" w14:paraId="53D9C901"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1C33A5C7" w14:textId="77777777" w:rsidR="00472DE3" w:rsidRDefault="003B6E00">
            <w:pPr>
              <w:pStyle w:val="appendixtablesubhead"/>
            </w:pPr>
            <w:r>
              <w:t>14-27.7</w:t>
            </w:r>
          </w:p>
        </w:tc>
        <w:tc>
          <w:tcPr>
            <w:tcW w:w="4799" w:type="dxa"/>
            <w:tcMar>
              <w:top w:w="70" w:type="dxa"/>
              <w:left w:w="0" w:type="dxa"/>
              <w:bottom w:w="70" w:type="dxa"/>
              <w:right w:w="160" w:type="dxa"/>
            </w:tcMar>
          </w:tcPr>
          <w:p w14:paraId="046B7BF1" w14:textId="77777777" w:rsidR="00472DE3" w:rsidRDefault="003B6E00">
            <w:pPr>
              <w:pStyle w:val="tabletext"/>
            </w:pPr>
            <w:r>
              <w:t>Former intercourse/sexual offense with certain victims</w:t>
            </w:r>
          </w:p>
        </w:tc>
        <w:tc>
          <w:tcPr>
            <w:tcW w:w="3000" w:type="dxa"/>
            <w:tcMar>
              <w:top w:w="70" w:type="dxa"/>
              <w:left w:w="0" w:type="dxa"/>
              <w:bottom w:w="70" w:type="dxa"/>
              <w:right w:w="80" w:type="dxa"/>
            </w:tcMar>
          </w:tcPr>
          <w:p w14:paraId="2A7E8C51" w14:textId="77777777" w:rsidR="00472DE3" w:rsidRDefault="003B6E00">
            <w:pPr>
              <w:pStyle w:val="tabletext"/>
            </w:pPr>
            <w:r>
              <w:t>Convicted/released on/after 1/1/1996</w:t>
            </w:r>
          </w:p>
        </w:tc>
      </w:tr>
      <w:tr w:rsidR="00472DE3" w14:paraId="47C27C37"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65011370" w14:textId="77777777" w:rsidR="00472DE3" w:rsidRDefault="003B6E00">
            <w:pPr>
              <w:pStyle w:val="appendixtablesubhead"/>
            </w:pPr>
            <w:r>
              <w:t>14-27.7A(a)</w:t>
            </w:r>
          </w:p>
        </w:tc>
        <w:tc>
          <w:tcPr>
            <w:tcW w:w="4799" w:type="dxa"/>
            <w:tcMar>
              <w:top w:w="70" w:type="dxa"/>
              <w:left w:w="0" w:type="dxa"/>
              <w:bottom w:w="70" w:type="dxa"/>
              <w:right w:w="160" w:type="dxa"/>
            </w:tcMar>
          </w:tcPr>
          <w:p w14:paraId="755394FD" w14:textId="77777777" w:rsidR="00472DE3" w:rsidRDefault="003B6E00">
            <w:pPr>
              <w:pStyle w:val="tabletext"/>
            </w:pPr>
            <w:r>
              <w:t>Former statutory rape/sexual offense of a person who is 13, 14, or 15 years old by a defendant who is more than six years older than the victim</w:t>
            </w:r>
          </w:p>
        </w:tc>
        <w:tc>
          <w:tcPr>
            <w:tcW w:w="3000" w:type="dxa"/>
            <w:tcMar>
              <w:top w:w="70" w:type="dxa"/>
              <w:left w:w="0" w:type="dxa"/>
              <w:bottom w:w="70" w:type="dxa"/>
              <w:right w:w="80" w:type="dxa"/>
            </w:tcMar>
          </w:tcPr>
          <w:p w14:paraId="22879DEE" w14:textId="77777777" w:rsidR="00472DE3" w:rsidRDefault="003B6E00">
            <w:pPr>
              <w:pStyle w:val="tabletext"/>
            </w:pPr>
            <w:r>
              <w:t>Committed on/after 12/1/2006</w:t>
            </w:r>
          </w:p>
        </w:tc>
      </w:tr>
      <w:tr w:rsidR="00472DE3" w14:paraId="1DE3D56F"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0B243222" w14:textId="77777777" w:rsidR="00472DE3" w:rsidRDefault="003B6E00">
            <w:pPr>
              <w:pStyle w:val="appendixtablesubhead"/>
            </w:pPr>
            <w:r>
              <w:t>14-190.18</w:t>
            </w:r>
          </w:p>
        </w:tc>
        <w:tc>
          <w:tcPr>
            <w:tcW w:w="4799" w:type="dxa"/>
            <w:tcMar>
              <w:top w:w="70" w:type="dxa"/>
              <w:left w:w="0" w:type="dxa"/>
              <w:bottom w:w="70" w:type="dxa"/>
              <w:right w:w="160" w:type="dxa"/>
            </w:tcMar>
          </w:tcPr>
          <w:p w14:paraId="06A40843" w14:textId="77777777" w:rsidR="00472DE3" w:rsidRDefault="003B6E00">
            <w:pPr>
              <w:pStyle w:val="tabletext"/>
            </w:pPr>
            <w:r>
              <w:t>Former promoting prostitution of a minor</w:t>
            </w:r>
          </w:p>
        </w:tc>
        <w:tc>
          <w:tcPr>
            <w:tcW w:w="3000" w:type="dxa"/>
            <w:tcMar>
              <w:top w:w="70" w:type="dxa"/>
              <w:left w:w="0" w:type="dxa"/>
              <w:bottom w:w="70" w:type="dxa"/>
              <w:right w:w="80" w:type="dxa"/>
            </w:tcMar>
          </w:tcPr>
          <w:p w14:paraId="5DDDB7DF" w14:textId="77777777" w:rsidR="00472DE3" w:rsidRDefault="003B6E00">
            <w:pPr>
              <w:pStyle w:val="tabletext"/>
            </w:pPr>
            <w:r>
              <w:t>Convicted/released on/after 1/1/1996</w:t>
            </w:r>
          </w:p>
        </w:tc>
      </w:tr>
      <w:tr w:rsidR="00472DE3" w14:paraId="76A6EFF1"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Borders>
              <w:top w:val="none" w:sz="8" w:space="0" w:color="auto"/>
              <w:left w:val="none" w:sz="8" w:space="0" w:color="auto"/>
              <w:bottom w:val="single" w:sz="6" w:space="0" w:color="auto"/>
              <w:right w:val="none" w:sz="8" w:space="0" w:color="auto"/>
            </w:tcBorders>
            <w:tcMar>
              <w:top w:w="70" w:type="dxa"/>
              <w:left w:w="60" w:type="dxa"/>
              <w:bottom w:w="70" w:type="dxa"/>
              <w:right w:w="60" w:type="dxa"/>
            </w:tcMar>
          </w:tcPr>
          <w:p w14:paraId="487FBA9F" w14:textId="77777777" w:rsidR="00472DE3" w:rsidRDefault="003B6E00">
            <w:pPr>
              <w:pStyle w:val="appendixtablesubhead"/>
            </w:pPr>
            <w:r>
              <w:t>14-190.19</w:t>
            </w:r>
          </w:p>
        </w:tc>
        <w:tc>
          <w:tcPr>
            <w:tcW w:w="4799" w:type="dxa"/>
            <w:tcBorders>
              <w:top w:val="none" w:sz="8" w:space="0" w:color="auto"/>
              <w:left w:val="none" w:sz="8" w:space="0" w:color="auto"/>
              <w:bottom w:val="single" w:sz="6" w:space="0" w:color="auto"/>
              <w:right w:val="none" w:sz="8" w:space="0" w:color="auto"/>
            </w:tcBorders>
            <w:tcMar>
              <w:top w:w="70" w:type="dxa"/>
              <w:left w:w="0" w:type="dxa"/>
              <w:bottom w:w="70" w:type="dxa"/>
              <w:right w:w="160" w:type="dxa"/>
            </w:tcMar>
          </w:tcPr>
          <w:p w14:paraId="6727418C" w14:textId="77777777" w:rsidR="00472DE3" w:rsidRDefault="003B6E00">
            <w:pPr>
              <w:pStyle w:val="tabletext"/>
            </w:pPr>
            <w:r>
              <w:t>Former participating in prostitution of a minor</w:t>
            </w:r>
          </w:p>
        </w:tc>
        <w:tc>
          <w:tcPr>
            <w:tcW w:w="3000" w:type="dxa"/>
            <w:tcBorders>
              <w:top w:val="none" w:sz="8" w:space="0" w:color="auto"/>
              <w:left w:val="none" w:sz="8" w:space="0" w:color="auto"/>
              <w:bottom w:val="single" w:sz="6" w:space="0" w:color="auto"/>
              <w:right w:val="none" w:sz="8" w:space="0" w:color="auto"/>
            </w:tcBorders>
            <w:tcMar>
              <w:top w:w="70" w:type="dxa"/>
              <w:left w:w="0" w:type="dxa"/>
              <w:bottom w:w="70" w:type="dxa"/>
              <w:right w:w="80" w:type="dxa"/>
            </w:tcMar>
          </w:tcPr>
          <w:p w14:paraId="680A8541" w14:textId="77777777" w:rsidR="00472DE3" w:rsidRDefault="003B6E00">
            <w:pPr>
              <w:pStyle w:val="tabletext"/>
            </w:pPr>
            <w:r>
              <w:t>Convicted/released on/after 1/1/1996</w:t>
            </w:r>
          </w:p>
        </w:tc>
      </w:tr>
    </w:tbl>
    <w:p w14:paraId="7D4FEEE0" w14:textId="77777777" w:rsidR="00472DE3" w:rsidRDefault="00472DE3"/>
    <w:p w14:paraId="614ADF06" w14:textId="5ABCCD79" w:rsidR="00381658" w:rsidRPr="00775D29" w:rsidRDefault="001B1848" w:rsidP="00034DDF">
      <w:pPr>
        <w:rPr>
          <w:rFonts w:ascii="Calibri" w:hAnsi="Calibri" w:cs="Calibri"/>
          <w:sz w:val="22"/>
          <w:szCs w:val="22"/>
        </w:rPr>
      </w:pPr>
      <w:r w:rsidRPr="00775D29">
        <w:rPr>
          <w:rFonts w:ascii="Calibri" w:hAnsi="Calibri" w:cs="Calibri"/>
          <w:b/>
          <w:bCs/>
          <w:sz w:val="22"/>
          <w:szCs w:val="22"/>
        </w:rPr>
        <w:t>Recodified offenses.</w:t>
      </w:r>
      <w:r w:rsidRPr="00775D29">
        <w:rPr>
          <w:rFonts w:ascii="Calibri" w:hAnsi="Calibri" w:cs="Calibri"/>
          <w:sz w:val="22"/>
          <w:szCs w:val="22"/>
        </w:rPr>
        <w:t xml:space="preserve"> Many reportable offenses were recodified in 2015. Older offenses committed under the prior statutes continue to require registration for defendants who fall within the indicated offense dates. </w:t>
      </w:r>
      <w:r w:rsidRPr="00775D29">
        <w:rPr>
          <w:rFonts w:ascii="Calibri" w:hAnsi="Calibri" w:cs="Calibri"/>
          <w:i/>
          <w:iCs/>
          <w:sz w:val="22"/>
          <w:szCs w:val="22"/>
        </w:rPr>
        <w:t>See</w:t>
      </w:r>
      <w:r w:rsidRPr="00775D29">
        <w:rPr>
          <w:rFonts w:ascii="Calibri" w:hAnsi="Calibri" w:cs="Calibri"/>
          <w:sz w:val="22"/>
          <w:szCs w:val="22"/>
        </w:rPr>
        <w:t xml:space="preserve"> State v. Mack, 277 N.C. App. 505 (2021)</w:t>
      </w:r>
      <w:r w:rsidR="001D079B" w:rsidRPr="00775D29">
        <w:rPr>
          <w:rFonts w:ascii="Calibri" w:hAnsi="Calibri" w:cs="Calibri"/>
          <w:sz w:val="22"/>
          <w:szCs w:val="22"/>
        </w:rPr>
        <w:t>.</w:t>
      </w:r>
    </w:p>
    <w:tbl>
      <w:tblPr>
        <w:tblStyle w:val="AppendixFTable"/>
        <w:tblW w:w="0" w:type="auto"/>
        <w:tblLayout w:type="fixed"/>
        <w:tblLook w:val="0420" w:firstRow="1" w:lastRow="0" w:firstColumn="0" w:lastColumn="0" w:noHBand="0" w:noVBand="1"/>
      </w:tblPr>
      <w:tblGrid>
        <w:gridCol w:w="1920"/>
        <w:gridCol w:w="4560"/>
        <w:gridCol w:w="3240"/>
      </w:tblGrid>
      <w:tr w:rsidR="00472DE3" w14:paraId="6575C23F" w14:textId="77777777" w:rsidTr="00472DE3">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one" w:sz="8" w:space="0" w:color="auto"/>
              <w:left w:val="none" w:sz="8" w:space="0" w:color="auto"/>
              <w:bottom w:val="single" w:sz="6" w:space="0" w:color="auto"/>
              <w:right w:val="none" w:sz="8" w:space="0" w:color="auto"/>
            </w:tcBorders>
            <w:tcMar>
              <w:top w:w="70" w:type="dxa"/>
              <w:left w:w="0" w:type="dxa"/>
              <w:bottom w:w="100" w:type="dxa"/>
              <w:right w:w="80" w:type="dxa"/>
            </w:tcMar>
            <w:vAlign w:val="bottom"/>
          </w:tcPr>
          <w:p w14:paraId="7E8C1104" w14:textId="77777777" w:rsidR="00472DE3" w:rsidRDefault="003B6E00">
            <w:pPr>
              <w:pStyle w:val="appendixfheada"/>
            </w:pPr>
            <w:r>
              <w:t>Offenses Against a Minor (G.S. 14-208.6(1m))</w:t>
            </w:r>
          </w:p>
          <w:p w14:paraId="5E75BA37" w14:textId="77777777" w:rsidR="00472DE3" w:rsidRPr="001D079B" w:rsidRDefault="003B6E00">
            <w:pPr>
              <w:pStyle w:val="appendixtablesubhead"/>
              <w:rPr>
                <w:rFonts w:ascii="Calibri" w:hAnsi="Calibri" w:cs="Calibri"/>
              </w:rPr>
            </w:pPr>
            <w:r w:rsidRPr="001D079B">
              <w:rPr>
                <w:rFonts w:ascii="Calibri" w:hAnsi="Calibri" w:cs="Calibri"/>
              </w:rPr>
              <w:t xml:space="preserve">These offenses are reportable only when committed against a minor (less than 18 years old) and the defendant is not the minor’s parent. “Parent” in this context means biological parent or adoptive parent with parental rights. </w:t>
            </w:r>
            <w:r w:rsidRPr="001D079B">
              <w:rPr>
                <w:rStyle w:val="tablesubheaditalic"/>
                <w:rFonts w:ascii="Calibri" w:hAnsi="Calibri" w:cs="Calibri"/>
              </w:rPr>
              <w:t>See</w:t>
            </w:r>
            <w:r w:rsidRPr="001D079B">
              <w:rPr>
                <w:rFonts w:ascii="Calibri" w:hAnsi="Calibri" w:cs="Calibri"/>
              </w:rPr>
              <w:t xml:space="preserve"> State v. Stanley, 205 N.C. App. 707 (2010) (</w:t>
            </w:r>
            <w:r w:rsidRPr="001D079B">
              <w:rPr>
                <w:rStyle w:val="nobreak"/>
                <w:rFonts w:ascii="Calibri" w:hAnsi="Calibri" w:cs="Calibri"/>
              </w:rPr>
              <w:t>non-adoptive</w:t>
            </w:r>
            <w:r w:rsidRPr="001D079B">
              <w:rPr>
                <w:rFonts w:ascii="Calibri" w:hAnsi="Calibri" w:cs="Calibri"/>
              </w:rPr>
              <w:t xml:space="preserve"> stepparent not a parent within the meaning of G.S. 14-208.6(1m)).</w:t>
            </w:r>
          </w:p>
        </w:tc>
      </w:tr>
      <w:tr w:rsidR="00472DE3" w14:paraId="10CC934F"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none" w:sz="8" w:space="0" w:color="auto"/>
              <w:right w:val="none" w:sz="8" w:space="0" w:color="auto"/>
            </w:tcBorders>
            <w:shd w:val="pct80" w:color="000000" w:fill="auto"/>
            <w:tcMar>
              <w:top w:w="100" w:type="dxa"/>
              <w:left w:w="80" w:type="dxa"/>
              <w:bottom w:w="100" w:type="dxa"/>
              <w:right w:w="80" w:type="dxa"/>
            </w:tcMar>
            <w:vAlign w:val="bottom"/>
          </w:tcPr>
          <w:p w14:paraId="71A9C4CC" w14:textId="77777777" w:rsidR="00472DE3" w:rsidRDefault="003B6E00">
            <w:pPr>
              <w:pStyle w:val="tableheadwhite"/>
            </w:pPr>
            <w:r>
              <w:t>Statute (G.S.)</w:t>
            </w:r>
          </w:p>
        </w:tc>
        <w:tc>
          <w:tcPr>
            <w:tcW w:w="456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18EFC51E" w14:textId="77777777" w:rsidR="00472DE3" w:rsidRDefault="003B6E00">
            <w:pPr>
              <w:pStyle w:val="tableheadwhite"/>
            </w:pPr>
            <w:r>
              <w:t>Offense</w:t>
            </w:r>
          </w:p>
        </w:tc>
        <w:tc>
          <w:tcPr>
            <w:tcW w:w="324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4169BEE1" w14:textId="77777777" w:rsidR="00472DE3" w:rsidRDefault="003B6E00">
            <w:pPr>
              <w:pStyle w:val="tableheadwhite"/>
            </w:pPr>
            <w:r>
              <w:t>Effective Date</w:t>
            </w:r>
          </w:p>
        </w:tc>
      </w:tr>
      <w:tr w:rsidR="00472DE3" w14:paraId="4B08A67F"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133C01D0" w14:textId="77777777" w:rsidR="00472DE3" w:rsidRDefault="003B6E00">
            <w:pPr>
              <w:pStyle w:val="appendixtablesubhead"/>
            </w:pPr>
            <w:r>
              <w:t>14-39</w:t>
            </w:r>
          </w:p>
        </w:tc>
        <w:tc>
          <w:tcPr>
            <w:tcW w:w="4560" w:type="dxa"/>
            <w:tcMar>
              <w:top w:w="70" w:type="dxa"/>
              <w:left w:w="0" w:type="dxa"/>
              <w:bottom w:w="70" w:type="dxa"/>
              <w:right w:w="80" w:type="dxa"/>
            </w:tcMar>
          </w:tcPr>
          <w:p w14:paraId="001E4050" w14:textId="77777777" w:rsidR="00472DE3" w:rsidRDefault="003B6E00">
            <w:pPr>
              <w:pStyle w:val="tabletext"/>
            </w:pPr>
            <w:r>
              <w:t>Kidnapping</w:t>
            </w:r>
          </w:p>
        </w:tc>
        <w:tc>
          <w:tcPr>
            <w:tcW w:w="3240" w:type="dxa"/>
            <w:tcMar>
              <w:top w:w="70" w:type="dxa"/>
              <w:left w:w="0" w:type="dxa"/>
              <w:bottom w:w="70" w:type="dxa"/>
              <w:right w:w="80" w:type="dxa"/>
            </w:tcMar>
          </w:tcPr>
          <w:p w14:paraId="2395F5EF" w14:textId="77777777" w:rsidR="00472DE3" w:rsidRDefault="003B6E00">
            <w:pPr>
              <w:pStyle w:val="tabletext"/>
            </w:pPr>
            <w:r>
              <w:t>Committed on/after 4/1/1998 (at a minimum)</w:t>
            </w:r>
          </w:p>
        </w:tc>
      </w:tr>
      <w:tr w:rsidR="00472DE3" w14:paraId="499BF4F5" w14:textId="77777777" w:rsidTr="00472DE3">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25E821BE" w14:textId="77777777" w:rsidR="00472DE3" w:rsidRDefault="003B6E00">
            <w:pPr>
              <w:pStyle w:val="appendixtablesubhead"/>
            </w:pPr>
            <w:r>
              <w:t>14-41</w:t>
            </w:r>
          </w:p>
        </w:tc>
        <w:tc>
          <w:tcPr>
            <w:tcW w:w="4560" w:type="dxa"/>
            <w:tcMar>
              <w:top w:w="70" w:type="dxa"/>
              <w:left w:w="0" w:type="dxa"/>
              <w:bottom w:w="70" w:type="dxa"/>
              <w:right w:w="80" w:type="dxa"/>
            </w:tcMar>
          </w:tcPr>
          <w:p w14:paraId="55633410" w14:textId="77777777" w:rsidR="00472DE3" w:rsidRDefault="003B6E00">
            <w:pPr>
              <w:pStyle w:val="tabletext"/>
            </w:pPr>
            <w:r>
              <w:t>Abduction of children</w:t>
            </w:r>
          </w:p>
        </w:tc>
        <w:tc>
          <w:tcPr>
            <w:tcW w:w="3240" w:type="dxa"/>
            <w:tcMar>
              <w:top w:w="70" w:type="dxa"/>
              <w:left w:w="0" w:type="dxa"/>
              <w:bottom w:w="70" w:type="dxa"/>
              <w:right w:w="80" w:type="dxa"/>
            </w:tcMar>
          </w:tcPr>
          <w:p w14:paraId="59D132F0" w14:textId="77777777" w:rsidR="00472DE3" w:rsidRDefault="003B6E00">
            <w:pPr>
              <w:pStyle w:val="tabletext"/>
            </w:pPr>
            <w:r>
              <w:t>Committed on/after 4/1/1998 (at a minimum)</w:t>
            </w:r>
          </w:p>
        </w:tc>
      </w:tr>
      <w:tr w:rsidR="00472DE3" w14:paraId="6E27EB86" w14:textId="77777777" w:rsidTr="00472DE3">
        <w:trPr>
          <w:cnfStyle w:val="000000010000" w:firstRow="0" w:lastRow="0" w:firstColumn="0" w:lastColumn="0" w:oddVBand="0" w:evenVBand="0" w:oddHBand="0" w:evenHBand="1" w:firstRowFirstColumn="0" w:firstRowLastColumn="0" w:lastRowFirstColumn="0" w:lastRowLastColumn="0"/>
        </w:trPr>
        <w:tc>
          <w:tcPr>
            <w:tcW w:w="1920" w:type="dxa"/>
            <w:tcBorders>
              <w:top w:val="none" w:sz="8" w:space="0" w:color="auto"/>
              <w:left w:val="none" w:sz="8" w:space="0" w:color="auto"/>
              <w:bottom w:val="single" w:sz="6" w:space="0" w:color="auto"/>
              <w:right w:val="none" w:sz="8" w:space="0" w:color="auto"/>
            </w:tcBorders>
            <w:tcMar>
              <w:top w:w="70" w:type="dxa"/>
              <w:left w:w="60" w:type="dxa"/>
              <w:bottom w:w="70" w:type="dxa"/>
              <w:right w:w="60" w:type="dxa"/>
            </w:tcMar>
          </w:tcPr>
          <w:p w14:paraId="7F1137B0" w14:textId="77777777" w:rsidR="00472DE3" w:rsidRDefault="003B6E00">
            <w:pPr>
              <w:pStyle w:val="appendixtablesubhead"/>
            </w:pPr>
            <w:r>
              <w:t>14-43.3</w:t>
            </w:r>
          </w:p>
        </w:tc>
        <w:tc>
          <w:tcPr>
            <w:tcW w:w="4560" w:type="dxa"/>
            <w:tcBorders>
              <w:top w:val="none" w:sz="8" w:space="0" w:color="auto"/>
              <w:left w:val="none" w:sz="8" w:space="0" w:color="auto"/>
              <w:bottom w:val="single" w:sz="6" w:space="0" w:color="auto"/>
              <w:right w:val="none" w:sz="8" w:space="0" w:color="auto"/>
            </w:tcBorders>
            <w:tcMar>
              <w:top w:w="70" w:type="dxa"/>
              <w:left w:w="0" w:type="dxa"/>
              <w:bottom w:w="70" w:type="dxa"/>
              <w:right w:w="80" w:type="dxa"/>
            </w:tcMar>
          </w:tcPr>
          <w:p w14:paraId="52924F3A" w14:textId="77777777" w:rsidR="00472DE3" w:rsidRDefault="003B6E00">
            <w:pPr>
              <w:pStyle w:val="tabletext"/>
            </w:pPr>
            <w:r>
              <w:t>Felonious restraint</w:t>
            </w:r>
          </w:p>
        </w:tc>
        <w:tc>
          <w:tcPr>
            <w:tcW w:w="3240" w:type="dxa"/>
            <w:tcBorders>
              <w:top w:val="none" w:sz="8" w:space="0" w:color="auto"/>
              <w:left w:val="none" w:sz="8" w:space="0" w:color="auto"/>
              <w:bottom w:val="single" w:sz="6" w:space="0" w:color="auto"/>
              <w:right w:val="none" w:sz="8" w:space="0" w:color="auto"/>
            </w:tcBorders>
            <w:tcMar>
              <w:top w:w="70" w:type="dxa"/>
              <w:left w:w="0" w:type="dxa"/>
              <w:bottom w:w="70" w:type="dxa"/>
              <w:right w:w="80" w:type="dxa"/>
            </w:tcMar>
          </w:tcPr>
          <w:p w14:paraId="51F63A50" w14:textId="77777777" w:rsidR="00472DE3" w:rsidRDefault="003B6E00">
            <w:pPr>
              <w:pStyle w:val="tabletext"/>
            </w:pPr>
            <w:r>
              <w:t>Committed on/after 4/1/1998 (at a minimum)</w:t>
            </w:r>
          </w:p>
        </w:tc>
      </w:tr>
    </w:tbl>
    <w:p w14:paraId="4BC7587C" w14:textId="77777777" w:rsidR="00381658" w:rsidRDefault="00381658">
      <w:r>
        <w:br w:type="page"/>
      </w:r>
    </w:p>
    <w:tbl>
      <w:tblPr>
        <w:tblStyle w:val="AppendixFTable"/>
        <w:tblW w:w="9720" w:type="dxa"/>
        <w:tblLayout w:type="fixed"/>
        <w:tblLook w:val="0420" w:firstRow="1" w:lastRow="0" w:firstColumn="0" w:lastColumn="0" w:noHBand="0" w:noVBand="1"/>
      </w:tblPr>
      <w:tblGrid>
        <w:gridCol w:w="1920"/>
        <w:gridCol w:w="4560"/>
        <w:gridCol w:w="3240"/>
      </w:tblGrid>
      <w:tr w:rsidR="00472DE3" w14:paraId="68C01714" w14:textId="77777777" w:rsidTr="00034DDF">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one" w:sz="8" w:space="0" w:color="auto"/>
              <w:left w:val="none" w:sz="8" w:space="0" w:color="auto"/>
              <w:bottom w:val="single" w:sz="6" w:space="0" w:color="auto"/>
              <w:right w:val="none" w:sz="8" w:space="0" w:color="auto"/>
            </w:tcBorders>
            <w:tcMar>
              <w:top w:w="70" w:type="dxa"/>
              <w:left w:w="0" w:type="dxa"/>
              <w:bottom w:w="100" w:type="dxa"/>
              <w:right w:w="80" w:type="dxa"/>
            </w:tcMar>
            <w:vAlign w:val="bottom"/>
          </w:tcPr>
          <w:p w14:paraId="25166F7F" w14:textId="77777777" w:rsidR="00472DE3" w:rsidRDefault="003B6E00">
            <w:pPr>
              <w:pStyle w:val="appendixfheada"/>
            </w:pPr>
            <w:r>
              <w:lastRenderedPageBreak/>
              <w:t>Offenses That Are Reportable Only If the Sentencing Court Rules That the Defendant Is a Danger to the Community</w:t>
            </w:r>
          </w:p>
        </w:tc>
      </w:tr>
      <w:tr w:rsidR="00472DE3" w14:paraId="32207892"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none" w:sz="8" w:space="0" w:color="auto"/>
              <w:right w:val="none" w:sz="8" w:space="0" w:color="auto"/>
            </w:tcBorders>
            <w:shd w:val="pct80" w:color="000000" w:fill="auto"/>
            <w:tcMar>
              <w:top w:w="100" w:type="dxa"/>
              <w:left w:w="80" w:type="dxa"/>
              <w:bottom w:w="140" w:type="dxa"/>
              <w:right w:w="80" w:type="dxa"/>
            </w:tcMar>
            <w:vAlign w:val="bottom"/>
          </w:tcPr>
          <w:p w14:paraId="2C424018" w14:textId="77777777" w:rsidR="00472DE3" w:rsidRDefault="003B6E00">
            <w:pPr>
              <w:pStyle w:val="tableheadwhite"/>
            </w:pPr>
            <w:r>
              <w:t>Statute (G.S.)</w:t>
            </w:r>
          </w:p>
        </w:tc>
        <w:tc>
          <w:tcPr>
            <w:tcW w:w="456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40" w:type="dxa"/>
              <w:right w:w="80" w:type="dxa"/>
            </w:tcMar>
            <w:vAlign w:val="bottom"/>
          </w:tcPr>
          <w:p w14:paraId="04A1ACCB" w14:textId="77777777" w:rsidR="00472DE3" w:rsidRDefault="003B6E00">
            <w:pPr>
              <w:pStyle w:val="tableheadwhite"/>
            </w:pPr>
            <w:r>
              <w:t>Offense</w:t>
            </w:r>
          </w:p>
        </w:tc>
        <w:tc>
          <w:tcPr>
            <w:tcW w:w="324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40" w:type="dxa"/>
              <w:right w:w="80" w:type="dxa"/>
            </w:tcMar>
            <w:vAlign w:val="bottom"/>
          </w:tcPr>
          <w:p w14:paraId="496E9394" w14:textId="77777777" w:rsidR="00472DE3" w:rsidRDefault="003B6E00">
            <w:pPr>
              <w:pStyle w:val="tableheadwhite"/>
            </w:pPr>
            <w:r>
              <w:t>Effective Date</w:t>
            </w:r>
          </w:p>
        </w:tc>
      </w:tr>
      <w:tr w:rsidR="00472DE3" w14:paraId="7A2DD707" w14:textId="77777777" w:rsidTr="00034DDF">
        <w:trPr>
          <w:cnfStyle w:val="000000010000" w:firstRow="0" w:lastRow="0" w:firstColumn="0" w:lastColumn="0" w:oddVBand="0" w:evenVBand="0" w:oddHBand="0" w:evenHBand="1" w:firstRowFirstColumn="0" w:firstRowLastColumn="0" w:lastRowFirstColumn="0" w:lastRowLastColumn="0"/>
        </w:trPr>
        <w:tc>
          <w:tcPr>
            <w:tcW w:w="9720" w:type="dxa"/>
            <w:gridSpan w:val="3"/>
            <w:tcBorders>
              <w:top w:val="single" w:sz="6" w:space="0" w:color="000000"/>
              <w:left w:val="none" w:sz="8" w:space="0" w:color="auto"/>
              <w:bottom w:val="single" w:sz="2" w:space="0" w:color="000000"/>
              <w:right w:val="none" w:sz="8" w:space="0" w:color="auto"/>
            </w:tcBorders>
            <w:shd w:val="pct35" w:color="689BAD" w:fill="auto"/>
            <w:tcMar>
              <w:top w:w="139" w:type="dxa"/>
              <w:left w:w="60" w:type="dxa"/>
              <w:bottom w:w="140" w:type="dxa"/>
              <w:right w:w="60" w:type="dxa"/>
            </w:tcMar>
            <w:vAlign w:val="center"/>
          </w:tcPr>
          <w:p w14:paraId="22BE50C8" w14:textId="77777777" w:rsidR="00472DE3" w:rsidRDefault="003B6E00">
            <w:pPr>
              <w:pStyle w:val="appendixtablesubhead"/>
            </w:pPr>
            <w:r>
              <w:rPr>
                <w:rStyle w:val="tablebold"/>
              </w:rPr>
              <w:t xml:space="preserve">Unlawful sale, surrender, or purchase of a minor (G.S. 14-43.14). </w:t>
            </w:r>
            <w:r>
              <w:t>Reportable only if the sentencing court rules that the person is a danger to the community and that the person shall register. G.S. 14-43.14(e).</w:t>
            </w:r>
          </w:p>
        </w:tc>
      </w:tr>
      <w:tr w:rsidR="00472DE3" w14:paraId="457103D1"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Mar>
              <w:top w:w="80" w:type="dxa"/>
              <w:left w:w="60" w:type="dxa"/>
              <w:bottom w:w="80" w:type="dxa"/>
              <w:right w:w="60" w:type="dxa"/>
            </w:tcMar>
          </w:tcPr>
          <w:p w14:paraId="4B9F2798" w14:textId="77777777" w:rsidR="00472DE3" w:rsidRDefault="003B6E00">
            <w:pPr>
              <w:pStyle w:val="appendixtablesubhead"/>
            </w:pPr>
            <w:r>
              <w:t>14-43.14</w:t>
            </w:r>
          </w:p>
        </w:tc>
        <w:tc>
          <w:tcPr>
            <w:tcW w:w="4560" w:type="dxa"/>
            <w:tcMar>
              <w:top w:w="80" w:type="dxa"/>
              <w:left w:w="0" w:type="dxa"/>
              <w:bottom w:w="80" w:type="dxa"/>
              <w:right w:w="80" w:type="dxa"/>
            </w:tcMar>
          </w:tcPr>
          <w:p w14:paraId="33BEDC65" w14:textId="77777777" w:rsidR="00472DE3" w:rsidRDefault="003B6E00">
            <w:pPr>
              <w:pStyle w:val="tabletext"/>
            </w:pPr>
            <w:r>
              <w:t>Unlawful sale, surrender, or purchase of a minor</w:t>
            </w:r>
          </w:p>
        </w:tc>
        <w:tc>
          <w:tcPr>
            <w:tcW w:w="3240" w:type="dxa"/>
            <w:tcMar>
              <w:top w:w="80" w:type="dxa"/>
              <w:left w:w="0" w:type="dxa"/>
              <w:bottom w:w="80" w:type="dxa"/>
              <w:right w:w="80" w:type="dxa"/>
            </w:tcMar>
          </w:tcPr>
          <w:p w14:paraId="3C19D0EE" w14:textId="77777777" w:rsidR="00472DE3" w:rsidRDefault="003B6E00">
            <w:pPr>
              <w:pStyle w:val="tabletext"/>
            </w:pPr>
            <w:r>
              <w:t>Committed on/after 12/1/2012</w:t>
            </w:r>
          </w:p>
        </w:tc>
      </w:tr>
      <w:tr w:rsidR="00472DE3" w14:paraId="398A5663" w14:textId="77777777" w:rsidTr="00034DDF">
        <w:trPr>
          <w:cnfStyle w:val="000000010000" w:firstRow="0" w:lastRow="0" w:firstColumn="0" w:lastColumn="0" w:oddVBand="0" w:evenVBand="0" w:oddHBand="0" w:evenHBand="1" w:firstRowFirstColumn="0" w:firstRowLastColumn="0" w:lastRowFirstColumn="0" w:lastRowLastColumn="0"/>
        </w:trPr>
        <w:tc>
          <w:tcPr>
            <w:tcW w:w="9720" w:type="dxa"/>
            <w:gridSpan w:val="3"/>
            <w:tcBorders>
              <w:top w:val="single" w:sz="6" w:space="0" w:color="000000"/>
              <w:left w:val="none" w:sz="8" w:space="0" w:color="auto"/>
              <w:bottom w:val="single" w:sz="2" w:space="0" w:color="000000"/>
              <w:right w:val="none" w:sz="8" w:space="0" w:color="auto"/>
            </w:tcBorders>
            <w:shd w:val="pct35" w:color="689BAD" w:fill="auto"/>
            <w:tcMar>
              <w:top w:w="139" w:type="dxa"/>
              <w:left w:w="60" w:type="dxa"/>
              <w:bottom w:w="140" w:type="dxa"/>
              <w:right w:w="60" w:type="dxa"/>
            </w:tcMar>
            <w:vAlign w:val="center"/>
          </w:tcPr>
          <w:p w14:paraId="1BAC3C19" w14:textId="77777777" w:rsidR="00472DE3" w:rsidRDefault="003B6E00">
            <w:pPr>
              <w:pStyle w:val="appendixtablesubhead"/>
            </w:pPr>
            <w:r>
              <w:rPr>
                <w:rStyle w:val="tablebold"/>
              </w:rPr>
              <w:t>Secretly peeping (G.S. 14-208.6(4)d).</w:t>
            </w:r>
            <w:r>
              <w:t xml:space="preserve"> Reportable for the specific secretly peeping listed below, and only when the sentencing court rules that the person is a danger to the community and that the person shall register. G.S. 14-202(</w:t>
            </w:r>
            <w:r>
              <w:rPr>
                <w:rStyle w:val="tablesubheaditalic"/>
              </w:rPr>
              <w:t>l</w:t>
            </w:r>
            <w:r>
              <w:t xml:space="preserve">); </w:t>
            </w:r>
            <w:r>
              <w:rPr>
                <w:rStyle w:val="tablesubheaditalic"/>
              </w:rPr>
              <w:t>see</w:t>
            </w:r>
            <w:r>
              <w:t xml:space="preserve"> State v. Fuller, 376 N.C. 862 (2021) (affirming a finding of dangerousness).</w:t>
            </w:r>
          </w:p>
        </w:tc>
      </w:tr>
      <w:tr w:rsidR="00472DE3" w14:paraId="768871C8"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Mar>
              <w:top w:w="80" w:type="dxa"/>
              <w:left w:w="60" w:type="dxa"/>
              <w:bottom w:w="80" w:type="dxa"/>
              <w:right w:w="60" w:type="dxa"/>
            </w:tcMar>
          </w:tcPr>
          <w:p w14:paraId="0B20DC80" w14:textId="77777777" w:rsidR="00472DE3" w:rsidRDefault="003B6E00">
            <w:pPr>
              <w:pStyle w:val="appendixtablesubhead"/>
            </w:pPr>
            <w:r>
              <w:t>14-202(d), (e), (f), (g), or (h)</w:t>
            </w:r>
          </w:p>
        </w:tc>
        <w:tc>
          <w:tcPr>
            <w:tcW w:w="4560" w:type="dxa"/>
            <w:tcMar>
              <w:top w:w="80" w:type="dxa"/>
              <w:left w:w="0" w:type="dxa"/>
              <w:bottom w:w="80" w:type="dxa"/>
              <w:right w:w="80" w:type="dxa"/>
            </w:tcMar>
          </w:tcPr>
          <w:p w14:paraId="06B7C763" w14:textId="77777777" w:rsidR="00472DE3" w:rsidRDefault="003B6E00">
            <w:pPr>
              <w:pStyle w:val="tabletext"/>
            </w:pPr>
            <w:r>
              <w:t>Felony peeping</w:t>
            </w:r>
          </w:p>
        </w:tc>
        <w:tc>
          <w:tcPr>
            <w:tcW w:w="3240" w:type="dxa"/>
            <w:tcMar>
              <w:top w:w="80" w:type="dxa"/>
              <w:left w:w="0" w:type="dxa"/>
              <w:bottom w:w="80" w:type="dxa"/>
              <w:right w:w="80" w:type="dxa"/>
            </w:tcMar>
          </w:tcPr>
          <w:p w14:paraId="5368CCDF" w14:textId="77777777" w:rsidR="00472DE3" w:rsidRDefault="003B6E00">
            <w:pPr>
              <w:pStyle w:val="tabletext"/>
            </w:pPr>
            <w:r>
              <w:t>Committed on/after 12/1/2003</w:t>
            </w:r>
          </w:p>
        </w:tc>
      </w:tr>
      <w:tr w:rsidR="00472DE3" w14:paraId="16E41804" w14:textId="77777777" w:rsidTr="00034DDF">
        <w:trPr>
          <w:cnfStyle w:val="000000010000" w:firstRow="0" w:lastRow="0" w:firstColumn="0" w:lastColumn="0" w:oddVBand="0" w:evenVBand="0" w:oddHBand="0" w:evenHBand="1" w:firstRowFirstColumn="0" w:firstRowLastColumn="0" w:lastRowFirstColumn="0" w:lastRowLastColumn="0"/>
        </w:trPr>
        <w:tc>
          <w:tcPr>
            <w:tcW w:w="1920" w:type="dxa"/>
            <w:tcMar>
              <w:top w:w="80" w:type="dxa"/>
              <w:left w:w="60" w:type="dxa"/>
              <w:bottom w:w="80" w:type="dxa"/>
              <w:right w:w="60" w:type="dxa"/>
            </w:tcMar>
          </w:tcPr>
          <w:p w14:paraId="6B81FFA3" w14:textId="77777777" w:rsidR="00472DE3" w:rsidRDefault="003B6E00">
            <w:pPr>
              <w:pStyle w:val="appendixtablesubhead"/>
            </w:pPr>
            <w:r>
              <w:t>14-202(e1)</w:t>
            </w:r>
          </w:p>
        </w:tc>
        <w:tc>
          <w:tcPr>
            <w:tcW w:w="4560" w:type="dxa"/>
            <w:tcMar>
              <w:top w:w="80" w:type="dxa"/>
              <w:left w:w="0" w:type="dxa"/>
              <w:bottom w:w="80" w:type="dxa"/>
              <w:right w:w="80" w:type="dxa"/>
            </w:tcMar>
          </w:tcPr>
          <w:p w14:paraId="75390553" w14:textId="77777777" w:rsidR="00472DE3" w:rsidRDefault="003B6E00">
            <w:pPr>
              <w:pStyle w:val="tabletext"/>
            </w:pPr>
            <w:r>
              <w:t>Felony peeping</w:t>
            </w:r>
          </w:p>
        </w:tc>
        <w:tc>
          <w:tcPr>
            <w:tcW w:w="3240" w:type="dxa"/>
            <w:tcMar>
              <w:top w:w="80" w:type="dxa"/>
              <w:left w:w="0" w:type="dxa"/>
              <w:bottom w:w="80" w:type="dxa"/>
              <w:right w:w="80" w:type="dxa"/>
            </w:tcMar>
          </w:tcPr>
          <w:p w14:paraId="278E3DC3" w14:textId="77777777" w:rsidR="00472DE3" w:rsidRDefault="003B6E00">
            <w:pPr>
              <w:pStyle w:val="tabletext"/>
            </w:pPr>
            <w:r>
              <w:t>Committed on/after 12/1/2025</w:t>
            </w:r>
          </w:p>
        </w:tc>
      </w:tr>
      <w:tr w:rsidR="00472DE3" w14:paraId="6E5B961C"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Mar>
              <w:top w:w="80" w:type="dxa"/>
              <w:left w:w="60" w:type="dxa"/>
              <w:bottom w:w="80" w:type="dxa"/>
              <w:right w:w="60" w:type="dxa"/>
            </w:tcMar>
          </w:tcPr>
          <w:p w14:paraId="477A1171" w14:textId="77777777" w:rsidR="00472DE3" w:rsidRDefault="003B6E00">
            <w:pPr>
              <w:pStyle w:val="appendixtablesubhead"/>
            </w:pPr>
            <w:r>
              <w:t>14-202(a) or (c)</w:t>
            </w:r>
          </w:p>
        </w:tc>
        <w:tc>
          <w:tcPr>
            <w:tcW w:w="4560" w:type="dxa"/>
            <w:tcMar>
              <w:top w:w="80" w:type="dxa"/>
              <w:left w:w="0" w:type="dxa"/>
              <w:bottom w:w="80" w:type="dxa"/>
              <w:right w:w="80" w:type="dxa"/>
            </w:tcMar>
          </w:tcPr>
          <w:p w14:paraId="30FBFA89" w14:textId="77777777" w:rsidR="00472DE3" w:rsidRDefault="003B6E00">
            <w:pPr>
              <w:pStyle w:val="tabletext"/>
            </w:pPr>
            <w:r>
              <w:t>Second/subsequent conviction for misdemeanor peeping</w:t>
            </w:r>
          </w:p>
        </w:tc>
        <w:tc>
          <w:tcPr>
            <w:tcW w:w="3240" w:type="dxa"/>
            <w:tcMar>
              <w:top w:w="80" w:type="dxa"/>
              <w:left w:w="0" w:type="dxa"/>
              <w:bottom w:w="80" w:type="dxa"/>
              <w:right w:w="80" w:type="dxa"/>
            </w:tcMar>
          </w:tcPr>
          <w:p w14:paraId="4DC7357B" w14:textId="77777777" w:rsidR="00472DE3" w:rsidRDefault="003B6E00">
            <w:pPr>
              <w:pStyle w:val="tabletext"/>
            </w:pPr>
            <w:r>
              <w:t>Committed on/after 12/1/2003</w:t>
            </w:r>
          </w:p>
        </w:tc>
      </w:tr>
      <w:tr w:rsidR="00472DE3" w14:paraId="6AB1D516" w14:textId="77777777" w:rsidTr="00034DDF">
        <w:trPr>
          <w:cnfStyle w:val="000000010000" w:firstRow="0" w:lastRow="0" w:firstColumn="0" w:lastColumn="0" w:oddVBand="0" w:evenVBand="0" w:oddHBand="0" w:evenHBand="1" w:firstRowFirstColumn="0" w:firstRowLastColumn="0" w:lastRowFirstColumn="0" w:lastRowLastColumn="0"/>
        </w:trPr>
        <w:tc>
          <w:tcPr>
            <w:tcW w:w="1920" w:type="dxa"/>
            <w:tcMar>
              <w:top w:w="80" w:type="dxa"/>
              <w:left w:w="60" w:type="dxa"/>
              <w:bottom w:w="80" w:type="dxa"/>
              <w:right w:w="60" w:type="dxa"/>
            </w:tcMar>
          </w:tcPr>
          <w:p w14:paraId="4A9A95A0" w14:textId="77777777" w:rsidR="00472DE3" w:rsidRDefault="003B6E00">
            <w:pPr>
              <w:pStyle w:val="appendixtablesubhead"/>
            </w:pPr>
            <w:r>
              <w:t>14-202(a1)</w:t>
            </w:r>
          </w:p>
        </w:tc>
        <w:tc>
          <w:tcPr>
            <w:tcW w:w="4560" w:type="dxa"/>
            <w:tcMar>
              <w:top w:w="80" w:type="dxa"/>
              <w:left w:w="0" w:type="dxa"/>
              <w:bottom w:w="80" w:type="dxa"/>
              <w:right w:w="80" w:type="dxa"/>
            </w:tcMar>
          </w:tcPr>
          <w:p w14:paraId="276AF2B8" w14:textId="77777777" w:rsidR="00472DE3" w:rsidRDefault="003B6E00">
            <w:pPr>
              <w:pStyle w:val="tabletext"/>
            </w:pPr>
            <w:r>
              <w:t>Second/subsequent conviction for misdemeanor peeping with a mirror or other device</w:t>
            </w:r>
          </w:p>
        </w:tc>
        <w:tc>
          <w:tcPr>
            <w:tcW w:w="3240" w:type="dxa"/>
            <w:tcMar>
              <w:top w:w="80" w:type="dxa"/>
              <w:left w:w="0" w:type="dxa"/>
              <w:bottom w:w="80" w:type="dxa"/>
              <w:right w:w="80" w:type="dxa"/>
            </w:tcMar>
          </w:tcPr>
          <w:p w14:paraId="0A66E9C1" w14:textId="77777777" w:rsidR="00472DE3" w:rsidRDefault="003B6E00">
            <w:pPr>
              <w:pStyle w:val="tabletext"/>
            </w:pPr>
            <w:r>
              <w:t>Committed on/after 12/1/2004</w:t>
            </w:r>
          </w:p>
          <w:p w14:paraId="4CEE3D48" w14:textId="77777777" w:rsidR="001D079B" w:rsidRDefault="001D079B">
            <w:pPr>
              <w:pStyle w:val="tabletext"/>
            </w:pPr>
          </w:p>
        </w:tc>
      </w:tr>
      <w:tr w:rsidR="001D079B" w14:paraId="3415D417" w14:textId="77777777" w:rsidTr="00034DDF">
        <w:trPr>
          <w:cnfStyle w:val="000000100000" w:firstRow="0" w:lastRow="0" w:firstColumn="0" w:lastColumn="0" w:oddVBand="0" w:evenVBand="0" w:oddHBand="1" w:evenHBand="0" w:firstRowFirstColumn="0" w:firstRowLastColumn="0" w:lastRowFirstColumn="0" w:lastRowLastColumn="0"/>
        </w:trPr>
        <w:tc>
          <w:tcPr>
            <w:tcW w:w="9720" w:type="dxa"/>
            <w:gridSpan w:val="3"/>
            <w:tcMar>
              <w:top w:w="80" w:type="dxa"/>
              <w:left w:w="60" w:type="dxa"/>
              <w:bottom w:w="80" w:type="dxa"/>
              <w:right w:w="60" w:type="dxa"/>
            </w:tcMar>
          </w:tcPr>
          <w:p w14:paraId="2A62905F" w14:textId="4EB2A02B" w:rsidR="001D079B" w:rsidRPr="00775D29" w:rsidRDefault="001D079B">
            <w:pPr>
              <w:pStyle w:val="tabletext"/>
              <w:rPr>
                <w:rFonts w:ascii="Calibri" w:hAnsi="Calibri" w:cs="Calibri"/>
                <w:sz w:val="22"/>
                <w:szCs w:val="22"/>
              </w:rPr>
            </w:pPr>
            <w:r w:rsidRPr="00775D29">
              <w:rPr>
                <w:rFonts w:ascii="Calibri" w:hAnsi="Calibri" w:cs="Calibri"/>
                <w:sz w:val="22"/>
                <w:szCs w:val="22"/>
              </w:rPr>
              <w:t xml:space="preserve">In </w:t>
            </w:r>
            <w:r w:rsidRPr="00775D29">
              <w:rPr>
                <w:rFonts w:ascii="Calibri" w:hAnsi="Calibri" w:cs="Calibri"/>
                <w:i/>
                <w:iCs/>
                <w:sz w:val="22"/>
                <w:szCs w:val="22"/>
              </w:rPr>
              <w:t>Fuller</w:t>
            </w:r>
            <w:r w:rsidRPr="00775D29">
              <w:rPr>
                <w:rFonts w:ascii="Calibri" w:hAnsi="Calibri" w:cs="Calibri"/>
                <w:sz w:val="22"/>
                <w:szCs w:val="22"/>
              </w:rPr>
              <w:t xml:space="preserve">, </w:t>
            </w:r>
            <w:r w:rsidR="00775D29" w:rsidRPr="00775D29">
              <w:rPr>
                <w:rFonts w:ascii="Calibri" w:hAnsi="Calibri" w:cs="Calibri"/>
                <w:sz w:val="22"/>
                <w:szCs w:val="22"/>
              </w:rPr>
              <w:t xml:space="preserve">376 N.C. at 862, the trial court did not err by making findings of the defendant’s dangerousness based on the defendant’s willingness to take advantage of a close person friendship; use of a sophisticated scheme to avoid detection; and the extended </w:t>
            </w:r>
            <w:proofErr w:type="gramStart"/>
            <w:r w:rsidR="00775D29" w:rsidRPr="00775D29">
              <w:rPr>
                <w:rFonts w:ascii="Calibri" w:hAnsi="Calibri" w:cs="Calibri"/>
                <w:sz w:val="22"/>
                <w:szCs w:val="22"/>
              </w:rPr>
              <w:t>time period</w:t>
            </w:r>
            <w:proofErr w:type="gramEnd"/>
            <w:r w:rsidR="00775D29" w:rsidRPr="00775D29">
              <w:rPr>
                <w:rFonts w:ascii="Calibri" w:hAnsi="Calibri" w:cs="Calibri"/>
                <w:sz w:val="22"/>
                <w:szCs w:val="22"/>
              </w:rPr>
              <w:t xml:space="preserve"> during which a hidden camera was used. The court was not limited to a Static-99 risk assessment and could review both past acts and predictions of future behavior. </w:t>
            </w:r>
          </w:p>
          <w:p w14:paraId="193C29A1" w14:textId="77777777" w:rsidR="001D079B" w:rsidRDefault="001D079B">
            <w:pPr>
              <w:pStyle w:val="tabletext"/>
            </w:pPr>
          </w:p>
        </w:tc>
      </w:tr>
      <w:tr w:rsidR="00472DE3" w14:paraId="52BC7048" w14:textId="77777777" w:rsidTr="00034DDF">
        <w:trPr>
          <w:cnfStyle w:val="000000010000" w:firstRow="0" w:lastRow="0" w:firstColumn="0" w:lastColumn="0" w:oddVBand="0" w:evenVBand="0" w:oddHBand="0" w:evenHBand="1" w:firstRowFirstColumn="0" w:firstRowLastColumn="0" w:lastRowFirstColumn="0" w:lastRowLastColumn="0"/>
        </w:trPr>
        <w:tc>
          <w:tcPr>
            <w:tcW w:w="9720" w:type="dxa"/>
            <w:gridSpan w:val="3"/>
            <w:tcBorders>
              <w:top w:val="single" w:sz="6" w:space="0" w:color="000000"/>
              <w:left w:val="none" w:sz="8" w:space="0" w:color="auto"/>
              <w:bottom w:val="single" w:sz="2" w:space="0" w:color="000000"/>
              <w:right w:val="none" w:sz="8" w:space="0" w:color="auto"/>
            </w:tcBorders>
            <w:shd w:val="pct35" w:color="689BAD" w:fill="auto"/>
            <w:tcMar>
              <w:top w:w="139" w:type="dxa"/>
              <w:left w:w="60" w:type="dxa"/>
              <w:bottom w:w="140" w:type="dxa"/>
              <w:right w:w="60" w:type="dxa"/>
            </w:tcMar>
            <w:vAlign w:val="center"/>
          </w:tcPr>
          <w:p w14:paraId="43489657" w14:textId="77777777" w:rsidR="00472DE3" w:rsidRDefault="003B6E00">
            <w:pPr>
              <w:pStyle w:val="appendixtablesubhead"/>
            </w:pPr>
            <w:r>
              <w:rPr>
                <w:rStyle w:val="tablebold"/>
              </w:rPr>
              <w:t>Aiding and abetting an “offense against a minor” or a “sexually violent offense.”</w:t>
            </w:r>
            <w:r>
              <w:t xml:space="preserve"> A final conviction for aiding and abetting is a reportable conviction only if the sentencing court finds that registration furthers the purposes of Article 27A of G.S. Chapter 14 as stated in G.S. 14-208.5.</w:t>
            </w:r>
          </w:p>
        </w:tc>
      </w:tr>
      <w:tr w:rsidR="00472DE3" w14:paraId="2EFB4DD5"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single" w:sz="6" w:space="0" w:color="auto"/>
              <w:right w:val="none" w:sz="8" w:space="0" w:color="auto"/>
            </w:tcBorders>
            <w:tcMar>
              <w:top w:w="80" w:type="dxa"/>
              <w:left w:w="60" w:type="dxa"/>
              <w:bottom w:w="80" w:type="dxa"/>
              <w:right w:w="60" w:type="dxa"/>
            </w:tcMar>
          </w:tcPr>
          <w:p w14:paraId="222C4A7B" w14:textId="77777777" w:rsidR="00472DE3" w:rsidRDefault="003B6E00">
            <w:pPr>
              <w:pStyle w:val="appendixtablesubhead"/>
            </w:pPr>
            <w:r>
              <w:t>14-208.6(4)(a)</w:t>
            </w:r>
          </w:p>
        </w:tc>
        <w:tc>
          <w:tcPr>
            <w:tcW w:w="4560" w:type="dxa"/>
            <w:tcBorders>
              <w:top w:val="none" w:sz="8" w:space="0" w:color="auto"/>
              <w:left w:val="none" w:sz="8" w:space="0" w:color="auto"/>
              <w:bottom w:val="single" w:sz="6" w:space="0" w:color="auto"/>
              <w:right w:val="none" w:sz="8" w:space="0" w:color="auto"/>
            </w:tcBorders>
            <w:tcMar>
              <w:top w:w="80" w:type="dxa"/>
              <w:left w:w="0" w:type="dxa"/>
              <w:bottom w:w="80" w:type="dxa"/>
              <w:right w:w="80" w:type="dxa"/>
            </w:tcMar>
          </w:tcPr>
          <w:p w14:paraId="18321FBC" w14:textId="77777777" w:rsidR="00472DE3" w:rsidRDefault="003B6E00">
            <w:pPr>
              <w:pStyle w:val="tabletext"/>
            </w:pPr>
            <w:r>
              <w:t>Aiding and abetting an “offense against a minor” or a “sexually violent offense”</w:t>
            </w:r>
          </w:p>
        </w:tc>
        <w:tc>
          <w:tcPr>
            <w:tcW w:w="3240" w:type="dxa"/>
            <w:tcBorders>
              <w:top w:val="none" w:sz="8" w:space="0" w:color="auto"/>
              <w:left w:val="none" w:sz="8" w:space="0" w:color="auto"/>
              <w:bottom w:val="single" w:sz="6" w:space="0" w:color="auto"/>
              <w:right w:val="none" w:sz="8" w:space="0" w:color="auto"/>
            </w:tcBorders>
            <w:tcMar>
              <w:top w:w="80" w:type="dxa"/>
              <w:left w:w="0" w:type="dxa"/>
              <w:bottom w:w="80" w:type="dxa"/>
              <w:right w:w="80" w:type="dxa"/>
            </w:tcMar>
          </w:tcPr>
          <w:p w14:paraId="55F83AF9" w14:textId="77777777" w:rsidR="00472DE3" w:rsidRDefault="003B6E00">
            <w:pPr>
              <w:pStyle w:val="tabletext"/>
            </w:pPr>
            <w:r>
              <w:t>Committed on/after 12/1/1999. If the target offense has a later effective date, use that date.</w:t>
            </w:r>
          </w:p>
        </w:tc>
      </w:tr>
      <w:tr w:rsidR="00582DC1" w14:paraId="40EFF081" w14:textId="77777777" w:rsidTr="00BF573E">
        <w:trPr>
          <w:cnfStyle w:val="000000010000" w:firstRow="0" w:lastRow="0" w:firstColumn="0" w:lastColumn="0" w:oddVBand="0" w:evenVBand="0" w:oddHBand="0" w:evenHBand="1" w:firstRowFirstColumn="0" w:firstRowLastColumn="0" w:lastRowFirstColumn="0" w:lastRowLastColumn="0"/>
        </w:trPr>
        <w:tc>
          <w:tcPr>
            <w:tcW w:w="9720" w:type="dxa"/>
            <w:gridSpan w:val="3"/>
            <w:tcBorders>
              <w:top w:val="none" w:sz="8" w:space="0" w:color="auto"/>
              <w:left w:val="none" w:sz="8" w:space="0" w:color="auto"/>
              <w:bottom w:val="single" w:sz="6" w:space="0" w:color="auto"/>
              <w:right w:val="none" w:sz="8" w:space="0" w:color="auto"/>
            </w:tcBorders>
            <w:tcMar>
              <w:top w:w="80" w:type="dxa"/>
              <w:left w:w="60" w:type="dxa"/>
              <w:bottom w:w="80" w:type="dxa"/>
              <w:right w:w="60" w:type="dxa"/>
            </w:tcMar>
          </w:tcPr>
          <w:p w14:paraId="2DA22847" w14:textId="013C8EC6" w:rsidR="00582DC1" w:rsidRDefault="00582DC1">
            <w:pPr>
              <w:pStyle w:val="tabletext"/>
            </w:pPr>
            <w:r>
              <w:t xml:space="preserve">Note that </w:t>
            </w:r>
            <w:r w:rsidR="0065765D">
              <w:t xml:space="preserve">aiding and abetting </w:t>
            </w:r>
            <w:r>
              <w:t>secret</w:t>
            </w:r>
            <w:r w:rsidR="00DF11CF">
              <w:t xml:space="preserve">ly peeping (G.S. 14-202) and </w:t>
            </w:r>
            <w:r w:rsidR="00B52E4D">
              <w:t xml:space="preserve">aiding and abetting the </w:t>
            </w:r>
            <w:r w:rsidR="00DF11CF">
              <w:t>sale of a child (</w:t>
            </w:r>
            <w:r w:rsidR="00803F53">
              <w:t>G.S. 14-43.14)</w:t>
            </w:r>
            <w:r w:rsidR="0065765D">
              <w:t xml:space="preserve"> are not covered under this rule and never require registration.</w:t>
            </w:r>
          </w:p>
        </w:tc>
      </w:tr>
      <w:tr w:rsidR="00472DE3" w14:paraId="4E96189B" w14:textId="77777777" w:rsidTr="006B17AC">
        <w:trPr>
          <w:cnfStyle w:val="000000100000" w:firstRow="0" w:lastRow="0" w:firstColumn="0" w:lastColumn="0" w:oddVBand="0" w:evenVBand="0" w:oddHBand="1" w:evenHBand="0" w:firstRowFirstColumn="0" w:firstRowLastColumn="0" w:lastRowFirstColumn="0" w:lastRowLastColumn="0"/>
        </w:trPr>
        <w:tc>
          <w:tcPr>
            <w:tcW w:w="9720" w:type="dxa"/>
            <w:gridSpan w:val="3"/>
            <w:tcBorders>
              <w:top w:val="none" w:sz="8" w:space="0" w:color="auto"/>
              <w:left w:val="none" w:sz="8" w:space="0" w:color="auto"/>
              <w:bottom w:val="single" w:sz="6" w:space="0" w:color="auto"/>
              <w:right w:val="none" w:sz="8" w:space="0" w:color="auto"/>
            </w:tcBorders>
            <w:tcMar>
              <w:top w:w="70" w:type="dxa"/>
              <w:left w:w="0" w:type="dxa"/>
              <w:bottom w:w="100" w:type="dxa"/>
              <w:right w:w="80" w:type="dxa"/>
            </w:tcMar>
            <w:vAlign w:val="bottom"/>
          </w:tcPr>
          <w:p w14:paraId="79ABCAF5" w14:textId="77777777" w:rsidR="00472DE3" w:rsidRDefault="003B6E00">
            <w:pPr>
              <w:pStyle w:val="appendixfheada"/>
            </w:pPr>
            <w:r>
              <w:t>Inchoate Offenses</w:t>
            </w:r>
          </w:p>
        </w:tc>
      </w:tr>
      <w:tr w:rsidR="00472DE3" w14:paraId="3468CB38" w14:textId="77777777" w:rsidTr="006B17AC">
        <w:trPr>
          <w:cnfStyle w:val="000000010000" w:firstRow="0" w:lastRow="0" w:firstColumn="0" w:lastColumn="0" w:oddVBand="0" w:evenVBand="0" w:oddHBand="0" w:evenHBand="1" w:firstRowFirstColumn="0" w:firstRowLastColumn="0" w:lastRowFirstColumn="0" w:lastRowLastColumn="0"/>
        </w:trPr>
        <w:tc>
          <w:tcPr>
            <w:tcW w:w="1920" w:type="dxa"/>
            <w:tcBorders>
              <w:top w:val="none" w:sz="8" w:space="0" w:color="auto"/>
              <w:left w:val="none" w:sz="8" w:space="0" w:color="auto"/>
              <w:bottom w:val="none" w:sz="8" w:space="0" w:color="auto"/>
              <w:right w:val="none" w:sz="8" w:space="0" w:color="auto"/>
            </w:tcBorders>
            <w:shd w:val="pct80" w:color="000000" w:fill="auto"/>
            <w:tcMar>
              <w:top w:w="100" w:type="dxa"/>
              <w:left w:w="80" w:type="dxa"/>
              <w:bottom w:w="100" w:type="dxa"/>
              <w:right w:w="80" w:type="dxa"/>
            </w:tcMar>
            <w:vAlign w:val="bottom"/>
          </w:tcPr>
          <w:p w14:paraId="6F3AD908" w14:textId="77777777" w:rsidR="00472DE3" w:rsidRDefault="003B6E00">
            <w:pPr>
              <w:pStyle w:val="tableheadwhite"/>
            </w:pPr>
            <w:r>
              <w:t>Statute (G.S.)</w:t>
            </w:r>
          </w:p>
        </w:tc>
        <w:tc>
          <w:tcPr>
            <w:tcW w:w="456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3FA5093C" w14:textId="77777777" w:rsidR="00472DE3" w:rsidRDefault="003B6E00">
            <w:pPr>
              <w:pStyle w:val="tableheadwhite"/>
            </w:pPr>
            <w:r>
              <w:t>Offense</w:t>
            </w:r>
          </w:p>
        </w:tc>
        <w:tc>
          <w:tcPr>
            <w:tcW w:w="3240"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396009E8" w14:textId="77777777" w:rsidR="00472DE3" w:rsidRDefault="003B6E00">
            <w:pPr>
              <w:pStyle w:val="tableheadwhite"/>
            </w:pPr>
            <w:r>
              <w:t>Effective Date</w:t>
            </w:r>
          </w:p>
        </w:tc>
      </w:tr>
      <w:tr w:rsidR="00472DE3" w14:paraId="364AD54C" w14:textId="77777777" w:rsidTr="006B17AC">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3348F731" w14:textId="77777777" w:rsidR="00472DE3" w:rsidRDefault="003B6E00">
            <w:pPr>
              <w:pStyle w:val="appendixtablesubhead"/>
            </w:pPr>
            <w:r>
              <w:t>14-208.6(4)(a)</w:t>
            </w:r>
          </w:p>
        </w:tc>
        <w:tc>
          <w:tcPr>
            <w:tcW w:w="4560" w:type="dxa"/>
            <w:tcMar>
              <w:top w:w="70" w:type="dxa"/>
              <w:left w:w="0" w:type="dxa"/>
              <w:bottom w:w="70" w:type="dxa"/>
              <w:right w:w="180" w:type="dxa"/>
            </w:tcMar>
          </w:tcPr>
          <w:p w14:paraId="113FD018" w14:textId="77777777" w:rsidR="00472DE3" w:rsidRDefault="003B6E00">
            <w:pPr>
              <w:pStyle w:val="tabletext"/>
            </w:pPr>
            <w:r>
              <w:t>Attempt to commit an “offense against a minor” or a “sexually violent offense”</w:t>
            </w:r>
          </w:p>
        </w:tc>
        <w:tc>
          <w:tcPr>
            <w:tcW w:w="3240" w:type="dxa"/>
            <w:tcMar>
              <w:top w:w="70" w:type="dxa"/>
              <w:left w:w="0" w:type="dxa"/>
              <w:bottom w:w="70" w:type="dxa"/>
              <w:right w:w="80" w:type="dxa"/>
            </w:tcMar>
          </w:tcPr>
          <w:p w14:paraId="581EF286" w14:textId="77777777" w:rsidR="00472DE3" w:rsidRDefault="003B6E00">
            <w:pPr>
              <w:pStyle w:val="tabletext"/>
            </w:pPr>
            <w:r>
              <w:t>Effective 4/1/1998 and, at a minimum, applicable to offenses committed on or after that date. If the target offense has a later effective date, use that date.</w:t>
            </w:r>
          </w:p>
        </w:tc>
      </w:tr>
      <w:tr w:rsidR="00472DE3" w14:paraId="3EA8696A" w14:textId="77777777" w:rsidTr="00B52E4D">
        <w:trPr>
          <w:cnfStyle w:val="000000010000" w:firstRow="0" w:lastRow="0" w:firstColumn="0" w:lastColumn="0" w:oddVBand="0" w:evenVBand="0" w:oddHBand="0" w:evenHBand="1" w:firstRowFirstColumn="0" w:firstRowLastColumn="0" w:lastRowFirstColumn="0" w:lastRowLastColumn="0"/>
        </w:trPr>
        <w:tc>
          <w:tcPr>
            <w:tcW w:w="1920" w:type="dxa"/>
            <w:tcBorders>
              <w:bottom w:val="single" w:sz="2" w:space="0" w:color="000000"/>
            </w:tcBorders>
            <w:tcMar>
              <w:top w:w="70" w:type="dxa"/>
              <w:left w:w="60" w:type="dxa"/>
              <w:bottom w:w="70" w:type="dxa"/>
              <w:right w:w="60" w:type="dxa"/>
            </w:tcMar>
          </w:tcPr>
          <w:p w14:paraId="6FE59D8C" w14:textId="77777777" w:rsidR="00472DE3" w:rsidRDefault="003B6E00">
            <w:pPr>
              <w:pStyle w:val="appendixtablesubhead"/>
            </w:pPr>
            <w:r>
              <w:t>14-208.6(1m) and -208.6(5)</w:t>
            </w:r>
          </w:p>
        </w:tc>
        <w:tc>
          <w:tcPr>
            <w:tcW w:w="4560" w:type="dxa"/>
            <w:tcBorders>
              <w:bottom w:val="single" w:sz="2" w:space="0" w:color="000000"/>
            </w:tcBorders>
            <w:tcMar>
              <w:top w:w="70" w:type="dxa"/>
              <w:left w:w="0" w:type="dxa"/>
              <w:bottom w:w="70" w:type="dxa"/>
              <w:right w:w="180" w:type="dxa"/>
            </w:tcMar>
          </w:tcPr>
          <w:p w14:paraId="56D9F500" w14:textId="77777777" w:rsidR="00472DE3" w:rsidRDefault="003B6E00">
            <w:pPr>
              <w:pStyle w:val="tabletext"/>
            </w:pPr>
            <w:r>
              <w:t>Conspiracy to commit an “offense against a minor” or a “sexually violent offense”</w:t>
            </w:r>
          </w:p>
        </w:tc>
        <w:tc>
          <w:tcPr>
            <w:tcW w:w="3240" w:type="dxa"/>
            <w:tcBorders>
              <w:bottom w:val="single" w:sz="2" w:space="0" w:color="000000"/>
            </w:tcBorders>
            <w:tcMar>
              <w:top w:w="70" w:type="dxa"/>
              <w:left w:w="0" w:type="dxa"/>
              <w:bottom w:w="70" w:type="dxa"/>
              <w:right w:w="80" w:type="dxa"/>
            </w:tcMar>
          </w:tcPr>
          <w:p w14:paraId="0298E57C" w14:textId="77777777" w:rsidR="00472DE3" w:rsidRDefault="003B6E00">
            <w:pPr>
              <w:pStyle w:val="tabletext"/>
            </w:pPr>
            <w:r>
              <w:t>Committed on/after 12/1/1999. If the target offense has a later effective date, use that date.</w:t>
            </w:r>
          </w:p>
        </w:tc>
      </w:tr>
      <w:tr w:rsidR="00472DE3" w14:paraId="41E08B32" w14:textId="77777777" w:rsidTr="00B52E4D">
        <w:trPr>
          <w:cnfStyle w:val="000000100000" w:firstRow="0" w:lastRow="0" w:firstColumn="0" w:lastColumn="0" w:oddVBand="0" w:evenVBand="0" w:oddHBand="1" w:evenHBand="0" w:firstRowFirstColumn="0" w:firstRowLastColumn="0" w:lastRowFirstColumn="0" w:lastRowLastColumn="0"/>
        </w:trPr>
        <w:tc>
          <w:tcPr>
            <w:tcW w:w="1920" w:type="dxa"/>
            <w:tcBorders>
              <w:top w:val="single" w:sz="2" w:space="0" w:color="000000"/>
              <w:left w:val="nil"/>
              <w:bottom w:val="single" w:sz="4" w:space="0" w:color="auto"/>
              <w:right w:val="nil"/>
            </w:tcBorders>
            <w:tcMar>
              <w:top w:w="70" w:type="dxa"/>
              <w:left w:w="60" w:type="dxa"/>
              <w:bottom w:w="70" w:type="dxa"/>
              <w:right w:w="60" w:type="dxa"/>
            </w:tcMar>
          </w:tcPr>
          <w:p w14:paraId="5DE0D728" w14:textId="77777777" w:rsidR="00472DE3" w:rsidRDefault="003B6E00">
            <w:pPr>
              <w:pStyle w:val="appendixtablesubhead"/>
            </w:pPr>
            <w:r>
              <w:lastRenderedPageBreak/>
              <w:t>14-208.6(1m) and -208.6(5)</w:t>
            </w:r>
          </w:p>
        </w:tc>
        <w:tc>
          <w:tcPr>
            <w:tcW w:w="4560" w:type="dxa"/>
            <w:tcBorders>
              <w:top w:val="single" w:sz="2" w:space="0" w:color="000000"/>
              <w:left w:val="nil"/>
              <w:bottom w:val="single" w:sz="4" w:space="0" w:color="auto"/>
              <w:right w:val="nil"/>
            </w:tcBorders>
            <w:tcMar>
              <w:top w:w="70" w:type="dxa"/>
              <w:left w:w="0" w:type="dxa"/>
              <w:bottom w:w="70" w:type="dxa"/>
              <w:right w:w="180" w:type="dxa"/>
            </w:tcMar>
          </w:tcPr>
          <w:p w14:paraId="15AB0D99" w14:textId="77777777" w:rsidR="00472DE3" w:rsidRDefault="003B6E00">
            <w:pPr>
              <w:pStyle w:val="tabletext"/>
            </w:pPr>
            <w:r>
              <w:t>Solicitation to commit an “offense against a minor” or a “sexually violent offense”</w:t>
            </w:r>
          </w:p>
        </w:tc>
        <w:tc>
          <w:tcPr>
            <w:tcW w:w="3240" w:type="dxa"/>
            <w:tcBorders>
              <w:top w:val="single" w:sz="2" w:space="0" w:color="000000"/>
              <w:left w:val="nil"/>
              <w:bottom w:val="single" w:sz="4" w:space="0" w:color="auto"/>
              <w:right w:val="nil"/>
            </w:tcBorders>
            <w:tcMar>
              <w:top w:w="70" w:type="dxa"/>
              <w:left w:w="0" w:type="dxa"/>
              <w:bottom w:w="70" w:type="dxa"/>
              <w:right w:w="80" w:type="dxa"/>
            </w:tcMar>
          </w:tcPr>
          <w:p w14:paraId="5E3567EB" w14:textId="77777777" w:rsidR="00472DE3" w:rsidRDefault="003B6E00">
            <w:pPr>
              <w:pStyle w:val="tabletext"/>
            </w:pPr>
            <w:r>
              <w:t>Committed on/after 12/1/1999. If the target offense has a later effective date, use that date.</w:t>
            </w:r>
          </w:p>
        </w:tc>
      </w:tr>
      <w:tr w:rsidR="00B52E4D" w14:paraId="45493276" w14:textId="77777777" w:rsidTr="000B2821">
        <w:trPr>
          <w:cnfStyle w:val="000000010000" w:firstRow="0" w:lastRow="0" w:firstColumn="0" w:lastColumn="0" w:oddVBand="0" w:evenVBand="0" w:oddHBand="0" w:evenHBand="1" w:firstRowFirstColumn="0" w:firstRowLastColumn="0" w:lastRowFirstColumn="0" w:lastRowLastColumn="0"/>
        </w:trPr>
        <w:tc>
          <w:tcPr>
            <w:tcW w:w="9720" w:type="dxa"/>
            <w:gridSpan w:val="3"/>
            <w:tcBorders>
              <w:top w:val="single" w:sz="4" w:space="0" w:color="auto"/>
              <w:left w:val="none" w:sz="8" w:space="0" w:color="auto"/>
              <w:bottom w:val="single" w:sz="6" w:space="0" w:color="auto"/>
              <w:right w:val="none" w:sz="8" w:space="0" w:color="auto"/>
            </w:tcBorders>
            <w:tcMar>
              <w:top w:w="70" w:type="dxa"/>
              <w:left w:w="60" w:type="dxa"/>
              <w:bottom w:w="70" w:type="dxa"/>
              <w:right w:w="60" w:type="dxa"/>
            </w:tcMar>
          </w:tcPr>
          <w:p w14:paraId="3E0AF441" w14:textId="42CF44E7" w:rsidR="00B52E4D" w:rsidRDefault="00B52E4D">
            <w:pPr>
              <w:pStyle w:val="tabletext"/>
            </w:pPr>
            <w:r>
              <w:t xml:space="preserve">Note that </w:t>
            </w:r>
            <w:r w:rsidR="00BD5E11">
              <w:t xml:space="preserve">attempts, conspiracies, and solicitations to commit </w:t>
            </w:r>
            <w:r>
              <w:t>secretly peeping (G.S. 14-202) and sale of a child (G.S. 14-43.14) are not covered under this rule and never require registration.</w:t>
            </w:r>
          </w:p>
        </w:tc>
      </w:tr>
    </w:tbl>
    <w:p w14:paraId="5E48DB6C" w14:textId="1D2CFA1A" w:rsidR="00381658" w:rsidRDefault="00381658"/>
    <w:tbl>
      <w:tblPr>
        <w:tblStyle w:val="AppendixFTable"/>
        <w:tblW w:w="9719" w:type="dxa"/>
        <w:tblLayout w:type="fixed"/>
        <w:tblLook w:val="0420" w:firstRow="1" w:lastRow="0" w:firstColumn="0" w:lastColumn="0" w:noHBand="0" w:noVBand="1"/>
      </w:tblPr>
      <w:tblGrid>
        <w:gridCol w:w="1920"/>
        <w:gridCol w:w="7799"/>
      </w:tblGrid>
      <w:tr w:rsidR="00472DE3" w14:paraId="7CBA8134" w14:textId="77777777" w:rsidTr="00034DDF">
        <w:trPr>
          <w:cnfStyle w:val="100000000000" w:firstRow="1" w:lastRow="0" w:firstColumn="0" w:lastColumn="0" w:oddVBand="0" w:evenVBand="0" w:oddHBand="0" w:evenHBand="0" w:firstRowFirstColumn="0" w:firstRowLastColumn="0" w:lastRowFirstColumn="0" w:lastRowLastColumn="0"/>
        </w:trPr>
        <w:tc>
          <w:tcPr>
            <w:tcW w:w="9719" w:type="dxa"/>
            <w:gridSpan w:val="2"/>
            <w:tcBorders>
              <w:top w:val="none" w:sz="8" w:space="0" w:color="auto"/>
              <w:left w:val="none" w:sz="8" w:space="0" w:color="auto"/>
              <w:bottom w:val="single" w:sz="6" w:space="0" w:color="auto"/>
              <w:right w:val="none" w:sz="8" w:space="0" w:color="auto"/>
            </w:tcBorders>
            <w:tcMar>
              <w:top w:w="70" w:type="dxa"/>
              <w:left w:w="0" w:type="dxa"/>
              <w:bottom w:w="100" w:type="dxa"/>
              <w:right w:w="80" w:type="dxa"/>
            </w:tcMar>
            <w:vAlign w:val="bottom"/>
          </w:tcPr>
          <w:p w14:paraId="2C16AB68" w14:textId="77777777" w:rsidR="00472DE3" w:rsidRDefault="003B6E00">
            <w:pPr>
              <w:pStyle w:val="appendixfheada"/>
            </w:pPr>
            <w:r>
              <w:t>Select Crimes That DO NOT Require Registration</w:t>
            </w:r>
          </w:p>
        </w:tc>
      </w:tr>
      <w:tr w:rsidR="00472DE3" w14:paraId="37F20848"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none" w:sz="8" w:space="0" w:color="auto"/>
              <w:right w:val="none" w:sz="8" w:space="0" w:color="auto"/>
            </w:tcBorders>
            <w:shd w:val="pct80" w:color="000000" w:fill="auto"/>
            <w:tcMar>
              <w:top w:w="100" w:type="dxa"/>
              <w:left w:w="80" w:type="dxa"/>
              <w:bottom w:w="100" w:type="dxa"/>
              <w:right w:w="80" w:type="dxa"/>
            </w:tcMar>
            <w:vAlign w:val="bottom"/>
          </w:tcPr>
          <w:p w14:paraId="19FBB296" w14:textId="77777777" w:rsidR="00472DE3" w:rsidRDefault="003B6E00">
            <w:pPr>
              <w:pStyle w:val="tableheadwhite"/>
            </w:pPr>
            <w:r>
              <w:t>Statute (G.S.)</w:t>
            </w:r>
          </w:p>
        </w:tc>
        <w:tc>
          <w:tcPr>
            <w:tcW w:w="7799" w:type="dxa"/>
            <w:tcBorders>
              <w:top w:val="none" w:sz="8" w:space="0" w:color="auto"/>
              <w:left w:val="none" w:sz="8" w:space="0" w:color="auto"/>
              <w:bottom w:val="none" w:sz="8" w:space="0" w:color="auto"/>
              <w:right w:val="none" w:sz="8" w:space="0" w:color="auto"/>
            </w:tcBorders>
            <w:shd w:val="pct80" w:color="000000" w:fill="auto"/>
            <w:tcMar>
              <w:top w:w="100" w:type="dxa"/>
              <w:left w:w="0" w:type="dxa"/>
              <w:bottom w:w="100" w:type="dxa"/>
              <w:right w:w="80" w:type="dxa"/>
            </w:tcMar>
            <w:vAlign w:val="bottom"/>
          </w:tcPr>
          <w:p w14:paraId="67FEE05C" w14:textId="77777777" w:rsidR="00472DE3" w:rsidRDefault="003B6E00">
            <w:pPr>
              <w:pStyle w:val="tableheadwhite"/>
            </w:pPr>
            <w:r>
              <w:t>Offense</w:t>
            </w:r>
          </w:p>
        </w:tc>
      </w:tr>
      <w:tr w:rsidR="00472DE3" w14:paraId="31A5A17F" w14:textId="77777777" w:rsidTr="00034DDF">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5B348A58" w14:textId="77777777" w:rsidR="00472DE3" w:rsidRDefault="003B6E00">
            <w:pPr>
              <w:pStyle w:val="appendixtablesubhead"/>
            </w:pPr>
            <w:r>
              <w:t>14‑27.25(b)</w:t>
            </w:r>
          </w:p>
        </w:tc>
        <w:tc>
          <w:tcPr>
            <w:tcW w:w="7799" w:type="dxa"/>
            <w:tcMar>
              <w:top w:w="70" w:type="dxa"/>
              <w:left w:w="0" w:type="dxa"/>
              <w:bottom w:w="70" w:type="dxa"/>
              <w:right w:w="80" w:type="dxa"/>
            </w:tcMar>
          </w:tcPr>
          <w:p w14:paraId="09AC4A28" w14:textId="77777777" w:rsidR="00472DE3" w:rsidRDefault="003B6E00">
            <w:pPr>
              <w:pStyle w:val="tabletext"/>
            </w:pPr>
            <w:r>
              <w:t>Statutory rape of a person who is 15 years of age or younger and the defendant is more than four but less than six years older than the person</w:t>
            </w:r>
          </w:p>
        </w:tc>
      </w:tr>
      <w:tr w:rsidR="00472DE3" w14:paraId="11591424"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3A314B1F" w14:textId="77777777" w:rsidR="00472DE3" w:rsidRDefault="003B6E00">
            <w:pPr>
              <w:pStyle w:val="appendixtablesubhead"/>
            </w:pPr>
            <w:r>
              <w:t>14‑27.30(b)</w:t>
            </w:r>
          </w:p>
        </w:tc>
        <w:tc>
          <w:tcPr>
            <w:tcW w:w="7799" w:type="dxa"/>
            <w:tcMar>
              <w:top w:w="70" w:type="dxa"/>
              <w:left w:w="0" w:type="dxa"/>
              <w:bottom w:w="70" w:type="dxa"/>
              <w:right w:w="80" w:type="dxa"/>
            </w:tcMar>
          </w:tcPr>
          <w:p w14:paraId="101BB0C4" w14:textId="77777777" w:rsidR="00472DE3" w:rsidRDefault="003B6E00">
            <w:pPr>
              <w:pStyle w:val="tabletext"/>
            </w:pPr>
            <w:r>
              <w:t xml:space="preserve">Statutory sexual offense with a person who is 15 years of age or </w:t>
            </w:r>
            <w:proofErr w:type="gramStart"/>
            <w:r>
              <w:t>younger</w:t>
            </w:r>
            <w:proofErr w:type="gramEnd"/>
            <w:r>
              <w:t xml:space="preserve"> and the defendant is more than four but less than six years older than the person</w:t>
            </w:r>
          </w:p>
        </w:tc>
      </w:tr>
      <w:tr w:rsidR="00472DE3" w14:paraId="14E1383F" w14:textId="77777777" w:rsidTr="00034DDF">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216660C1" w14:textId="77777777" w:rsidR="00472DE3" w:rsidRDefault="003B6E00">
            <w:pPr>
              <w:pStyle w:val="appendixtablesubhead"/>
            </w:pPr>
            <w:r>
              <w:t>14-33(c)(2)</w:t>
            </w:r>
          </w:p>
        </w:tc>
        <w:tc>
          <w:tcPr>
            <w:tcW w:w="7799" w:type="dxa"/>
            <w:tcMar>
              <w:top w:w="70" w:type="dxa"/>
              <w:left w:w="0" w:type="dxa"/>
              <w:bottom w:w="70" w:type="dxa"/>
              <w:right w:w="80" w:type="dxa"/>
            </w:tcMar>
          </w:tcPr>
          <w:p w14:paraId="6F9A7E03" w14:textId="77777777" w:rsidR="00472DE3" w:rsidRDefault="003B6E00">
            <w:pPr>
              <w:pStyle w:val="tabletext"/>
            </w:pPr>
            <w:r>
              <w:t>Assault on a female</w:t>
            </w:r>
          </w:p>
        </w:tc>
      </w:tr>
      <w:tr w:rsidR="00472DE3" w14:paraId="3040F91E"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Mar>
              <w:top w:w="70" w:type="dxa"/>
              <w:left w:w="60" w:type="dxa"/>
              <w:bottom w:w="70" w:type="dxa"/>
              <w:right w:w="60" w:type="dxa"/>
            </w:tcMar>
          </w:tcPr>
          <w:p w14:paraId="1F3785CE" w14:textId="77777777" w:rsidR="00472DE3" w:rsidRDefault="003B6E00">
            <w:pPr>
              <w:pStyle w:val="appendixtablesubhead"/>
            </w:pPr>
            <w:r>
              <w:t>14-177</w:t>
            </w:r>
          </w:p>
        </w:tc>
        <w:tc>
          <w:tcPr>
            <w:tcW w:w="7799" w:type="dxa"/>
            <w:tcMar>
              <w:top w:w="70" w:type="dxa"/>
              <w:left w:w="0" w:type="dxa"/>
              <w:bottom w:w="70" w:type="dxa"/>
              <w:right w:w="80" w:type="dxa"/>
            </w:tcMar>
          </w:tcPr>
          <w:p w14:paraId="3014FD2A" w14:textId="77777777" w:rsidR="00472DE3" w:rsidRDefault="003B6E00">
            <w:pPr>
              <w:pStyle w:val="tabletext"/>
            </w:pPr>
            <w:r>
              <w:t>Crime against nature</w:t>
            </w:r>
          </w:p>
        </w:tc>
      </w:tr>
      <w:tr w:rsidR="00472DE3" w14:paraId="49995150" w14:textId="77777777" w:rsidTr="00034DDF">
        <w:trPr>
          <w:cnfStyle w:val="000000010000" w:firstRow="0" w:lastRow="0" w:firstColumn="0" w:lastColumn="0" w:oddVBand="0" w:evenVBand="0" w:oddHBand="0" w:evenHBand="1" w:firstRowFirstColumn="0" w:firstRowLastColumn="0" w:lastRowFirstColumn="0" w:lastRowLastColumn="0"/>
        </w:trPr>
        <w:tc>
          <w:tcPr>
            <w:tcW w:w="1920" w:type="dxa"/>
            <w:tcMar>
              <w:top w:w="70" w:type="dxa"/>
              <w:left w:w="60" w:type="dxa"/>
              <w:bottom w:w="70" w:type="dxa"/>
              <w:right w:w="60" w:type="dxa"/>
            </w:tcMar>
          </w:tcPr>
          <w:p w14:paraId="47A1CAF7" w14:textId="77777777" w:rsidR="00472DE3" w:rsidRDefault="003B6E00">
            <w:pPr>
              <w:pStyle w:val="appendixtablesubhead"/>
            </w:pPr>
            <w:r>
              <w:t>14-202.4(b)</w:t>
            </w:r>
          </w:p>
        </w:tc>
        <w:tc>
          <w:tcPr>
            <w:tcW w:w="7799" w:type="dxa"/>
            <w:tcMar>
              <w:top w:w="70" w:type="dxa"/>
              <w:left w:w="0" w:type="dxa"/>
              <w:bottom w:w="70" w:type="dxa"/>
              <w:right w:w="80" w:type="dxa"/>
            </w:tcMar>
          </w:tcPr>
          <w:p w14:paraId="24F4421E" w14:textId="77777777" w:rsidR="00472DE3" w:rsidRDefault="003B6E00">
            <w:pPr>
              <w:pStyle w:val="tabletext"/>
            </w:pPr>
            <w:r>
              <w:t>Indecent liberties by school personnel other than a teacher, school administrator, student teacher, school safety officer, or coach, and who is less than four years older than the victim</w:t>
            </w:r>
          </w:p>
        </w:tc>
      </w:tr>
      <w:tr w:rsidR="00472DE3" w14:paraId="5DEC8D70" w14:textId="77777777" w:rsidTr="00034DDF">
        <w:trPr>
          <w:cnfStyle w:val="000000100000" w:firstRow="0" w:lastRow="0" w:firstColumn="0" w:lastColumn="0" w:oddVBand="0" w:evenVBand="0" w:oddHBand="1" w:evenHBand="0" w:firstRowFirstColumn="0" w:firstRowLastColumn="0" w:lastRowFirstColumn="0" w:lastRowLastColumn="0"/>
        </w:trPr>
        <w:tc>
          <w:tcPr>
            <w:tcW w:w="1920" w:type="dxa"/>
            <w:tcBorders>
              <w:top w:val="none" w:sz="8" w:space="0" w:color="auto"/>
              <w:left w:val="none" w:sz="8" w:space="0" w:color="auto"/>
              <w:bottom w:val="single" w:sz="6" w:space="0" w:color="auto"/>
              <w:right w:val="none" w:sz="8" w:space="0" w:color="auto"/>
            </w:tcBorders>
            <w:tcMar>
              <w:top w:w="70" w:type="dxa"/>
              <w:left w:w="60" w:type="dxa"/>
              <w:bottom w:w="70" w:type="dxa"/>
              <w:right w:w="60" w:type="dxa"/>
            </w:tcMar>
          </w:tcPr>
          <w:p w14:paraId="19D150CB" w14:textId="5AEDFD7B" w:rsidR="00472DE3" w:rsidRDefault="003B6E00">
            <w:pPr>
              <w:pStyle w:val="appendixtablesubhead"/>
            </w:pPr>
            <w:r>
              <w:t>14-208.11</w:t>
            </w:r>
          </w:p>
        </w:tc>
        <w:tc>
          <w:tcPr>
            <w:tcW w:w="7799" w:type="dxa"/>
            <w:tcBorders>
              <w:top w:val="none" w:sz="8" w:space="0" w:color="auto"/>
              <w:left w:val="none" w:sz="8" w:space="0" w:color="auto"/>
              <w:bottom w:val="single" w:sz="6" w:space="0" w:color="auto"/>
              <w:right w:val="none" w:sz="8" w:space="0" w:color="auto"/>
            </w:tcBorders>
            <w:tcMar>
              <w:top w:w="70" w:type="dxa"/>
              <w:left w:w="0" w:type="dxa"/>
              <w:bottom w:w="70" w:type="dxa"/>
              <w:right w:w="80" w:type="dxa"/>
            </w:tcMar>
          </w:tcPr>
          <w:p w14:paraId="0E153059" w14:textId="5BDA1C8D" w:rsidR="00243A94" w:rsidRDefault="003B6E00">
            <w:pPr>
              <w:pStyle w:val="tabletext"/>
            </w:pPr>
            <w:r>
              <w:t>Failure to register as a sex offender</w:t>
            </w:r>
          </w:p>
        </w:tc>
      </w:tr>
    </w:tbl>
    <w:p w14:paraId="284D210A" w14:textId="664435FA" w:rsidR="00381658" w:rsidRDefault="00381658"/>
    <w:p w14:paraId="626AD409" w14:textId="77777777" w:rsidR="00034DDF" w:rsidRDefault="00034DDF"/>
    <w:p w14:paraId="3F671765" w14:textId="77777777" w:rsidR="00775D29" w:rsidRPr="00814E86" w:rsidRDefault="00775D29" w:rsidP="00775D29">
      <w:pPr>
        <w:rPr>
          <w:rFonts w:ascii="Calibri" w:hAnsi="Calibri" w:cs="Calibri"/>
          <w:b/>
          <w:bCs/>
          <w:sz w:val="26"/>
          <w:szCs w:val="26"/>
        </w:rPr>
      </w:pPr>
      <w:r w:rsidRPr="00814E86">
        <w:rPr>
          <w:rFonts w:ascii="Calibri" w:hAnsi="Calibri" w:cs="Calibri"/>
          <w:b/>
          <w:bCs/>
          <w:sz w:val="26"/>
          <w:szCs w:val="26"/>
        </w:rPr>
        <w:t>Federal Convictions</w:t>
      </w:r>
    </w:p>
    <w:p w14:paraId="70F96025" w14:textId="685721D8" w:rsidR="00775D29" w:rsidRPr="00814E86" w:rsidRDefault="00775D29" w:rsidP="00775D29">
      <w:pPr>
        <w:ind w:left="720"/>
        <w:rPr>
          <w:rFonts w:ascii="Calibri" w:hAnsi="Calibri" w:cs="Calibri"/>
          <w:sz w:val="22"/>
          <w:szCs w:val="22"/>
        </w:rPr>
      </w:pPr>
      <w:r w:rsidRPr="00814E86">
        <w:rPr>
          <w:rFonts w:ascii="Calibri" w:hAnsi="Calibri" w:cs="Calibri"/>
          <w:sz w:val="22"/>
          <w:szCs w:val="22"/>
        </w:rPr>
        <w:t>A person is required to register in North Carolina based on a federal conviction if the offense is substantially similar to a North Carolina “offense against a minor” or “sexually violent offense.”</w:t>
      </w:r>
      <w:r w:rsidR="00814E86" w:rsidRPr="00814E86">
        <w:rPr>
          <w:rFonts w:ascii="Calibri" w:hAnsi="Calibri" w:cs="Calibri"/>
          <w:sz w:val="22"/>
          <w:szCs w:val="22"/>
        </w:rPr>
        <w:t xml:space="preserve"> G.S. 14-208.6(4)(c).</w:t>
      </w:r>
      <w:r w:rsidRPr="00814E86">
        <w:rPr>
          <w:rFonts w:ascii="Calibri" w:hAnsi="Calibri" w:cs="Calibri"/>
          <w:sz w:val="22"/>
          <w:szCs w:val="22"/>
        </w:rPr>
        <w:t xml:space="preserve"> That requirement includes conspiracy, solicitation, and aiding and abetting, but excludes attempts. It applies at the earliest to anyone convicted or released on or after April 3, 1997, S.L. 1997-15, but use the effective date of the purportedly similar North Carolina offense if it is later. The requirement was extended to include a court martial for offenses committed on or after October 1, 2001. S.L. 2001-373.</w:t>
      </w:r>
    </w:p>
    <w:p w14:paraId="29EA5F35" w14:textId="77777777" w:rsidR="00775D29" w:rsidRPr="00814E86" w:rsidRDefault="00775D29" w:rsidP="00775D29">
      <w:pPr>
        <w:ind w:left="720"/>
        <w:rPr>
          <w:rFonts w:ascii="Calibri" w:hAnsi="Calibri" w:cs="Calibri"/>
          <w:b/>
          <w:bCs/>
          <w:i/>
          <w:iCs/>
          <w:sz w:val="22"/>
          <w:szCs w:val="22"/>
        </w:rPr>
      </w:pPr>
      <w:r w:rsidRPr="00814E86">
        <w:rPr>
          <w:rFonts w:ascii="Calibri" w:hAnsi="Calibri" w:cs="Calibri"/>
          <w:b/>
          <w:bCs/>
          <w:i/>
          <w:iCs/>
          <w:sz w:val="22"/>
          <w:szCs w:val="22"/>
        </w:rPr>
        <w:t>The superior court determines substantial similarity under the procedure described below.</w:t>
      </w:r>
    </w:p>
    <w:p w14:paraId="424D03BA" w14:textId="77777777" w:rsidR="00814E86" w:rsidRDefault="00814E86" w:rsidP="00775D29">
      <w:pPr>
        <w:rPr>
          <w:rFonts w:ascii="Calibri" w:hAnsi="Calibri" w:cs="Calibri"/>
          <w:b/>
          <w:bCs/>
          <w:sz w:val="28"/>
          <w:szCs w:val="22"/>
        </w:rPr>
      </w:pPr>
    </w:p>
    <w:p w14:paraId="1F534029" w14:textId="67D71BA9" w:rsidR="00775D29" w:rsidRPr="00814E86" w:rsidRDefault="00775D29" w:rsidP="00775D29">
      <w:pPr>
        <w:rPr>
          <w:rFonts w:ascii="Calibri" w:hAnsi="Calibri" w:cs="Calibri"/>
          <w:b/>
          <w:bCs/>
          <w:sz w:val="26"/>
          <w:szCs w:val="26"/>
        </w:rPr>
      </w:pPr>
      <w:r w:rsidRPr="00814E86">
        <w:rPr>
          <w:rFonts w:ascii="Calibri" w:hAnsi="Calibri" w:cs="Calibri"/>
          <w:b/>
          <w:bCs/>
          <w:sz w:val="26"/>
          <w:szCs w:val="26"/>
        </w:rPr>
        <w:t>Convictions from Another State</w:t>
      </w:r>
    </w:p>
    <w:p w14:paraId="49FABD53" w14:textId="77777777" w:rsidR="00814E86" w:rsidRPr="00814E86" w:rsidRDefault="00775D29" w:rsidP="00814E86">
      <w:pPr>
        <w:ind w:left="720"/>
        <w:rPr>
          <w:rFonts w:ascii="Calibri" w:hAnsi="Calibri" w:cs="Calibri"/>
          <w:sz w:val="22"/>
          <w:szCs w:val="22"/>
        </w:rPr>
      </w:pPr>
      <w:r w:rsidRPr="00814E86">
        <w:rPr>
          <w:rFonts w:ascii="Calibri" w:hAnsi="Calibri" w:cs="Calibri"/>
          <w:sz w:val="22"/>
          <w:szCs w:val="22"/>
        </w:rPr>
        <w:t>A person is required to register in North Carolina based on a conviction from another state in two circumstances</w:t>
      </w:r>
      <w:r w:rsidR="00814E86" w:rsidRPr="00814E86">
        <w:rPr>
          <w:rFonts w:ascii="Calibri" w:hAnsi="Calibri" w:cs="Calibri"/>
          <w:sz w:val="22"/>
          <w:szCs w:val="22"/>
        </w:rPr>
        <w:t xml:space="preserve">, as provided in </w:t>
      </w:r>
      <w:r w:rsidRPr="00814E86">
        <w:rPr>
          <w:rFonts w:ascii="Calibri" w:hAnsi="Calibri" w:cs="Calibri"/>
          <w:sz w:val="22"/>
          <w:szCs w:val="22"/>
        </w:rPr>
        <w:t>G.S. 14-208.6(4)(b).</w:t>
      </w:r>
    </w:p>
    <w:p w14:paraId="6D3AADF0" w14:textId="77777777" w:rsidR="00814E86" w:rsidRPr="00814E86" w:rsidRDefault="00814E86" w:rsidP="00814E86">
      <w:pPr>
        <w:ind w:left="720"/>
        <w:rPr>
          <w:rFonts w:ascii="Calibri" w:hAnsi="Calibri" w:cs="Calibri"/>
          <w:sz w:val="22"/>
          <w:szCs w:val="22"/>
        </w:rPr>
      </w:pPr>
    </w:p>
    <w:p w14:paraId="157AA38D" w14:textId="7174AC2D" w:rsidR="00814E86" w:rsidRPr="00814E86" w:rsidRDefault="00775D29" w:rsidP="00814E86">
      <w:pPr>
        <w:pStyle w:val="ListParagraph"/>
        <w:numPr>
          <w:ilvl w:val="0"/>
          <w:numId w:val="3"/>
        </w:numPr>
        <w:ind w:left="1080"/>
        <w:rPr>
          <w:rFonts w:ascii="Calibri" w:hAnsi="Calibri" w:cs="Calibri"/>
          <w:sz w:val="22"/>
          <w:szCs w:val="22"/>
        </w:rPr>
      </w:pPr>
      <w:r w:rsidRPr="00814E86">
        <w:rPr>
          <w:rFonts w:ascii="Calibri" w:hAnsi="Calibri" w:cs="Calibri"/>
          <w:b/>
          <w:bCs/>
          <w:sz w:val="22"/>
          <w:szCs w:val="22"/>
        </w:rPr>
        <w:t>A final conviction in another state of an offense, which if committed in this State, is substantially similar to an offense against a minor or a sexually violent offense.</w:t>
      </w:r>
      <w:r w:rsidRPr="00814E86">
        <w:rPr>
          <w:rFonts w:ascii="Calibri" w:hAnsi="Calibri" w:cs="Calibri"/>
          <w:sz w:val="22"/>
          <w:szCs w:val="22"/>
        </w:rPr>
        <w:t xml:space="preserve"> This pathway includes conspiracy, solicitation, and aiding and abetting, but excludes attempts. Use the effective date of the similar North Carolina offense.</w:t>
      </w:r>
    </w:p>
    <w:p w14:paraId="30CF6EEE" w14:textId="77777777" w:rsidR="00814E86" w:rsidRPr="00155656" w:rsidRDefault="00775D29" w:rsidP="004F0AF3">
      <w:pPr>
        <w:ind w:left="360" w:firstLine="720"/>
        <w:rPr>
          <w:rFonts w:ascii="Calibri" w:hAnsi="Calibri" w:cs="Calibri"/>
          <w:b/>
          <w:bCs/>
          <w:i/>
          <w:iCs/>
          <w:sz w:val="22"/>
          <w:szCs w:val="22"/>
        </w:rPr>
      </w:pPr>
      <w:r w:rsidRPr="00155656">
        <w:rPr>
          <w:rFonts w:ascii="Calibri" w:hAnsi="Calibri" w:cs="Calibri"/>
          <w:b/>
          <w:bCs/>
          <w:i/>
          <w:iCs/>
          <w:sz w:val="22"/>
          <w:szCs w:val="22"/>
        </w:rPr>
        <w:t>The superior court determines substantial similarity under the procedure described below.</w:t>
      </w:r>
    </w:p>
    <w:p w14:paraId="277F260C" w14:textId="0465897C" w:rsidR="00775D29" w:rsidRPr="00814E86" w:rsidRDefault="00775D29" w:rsidP="00814E86">
      <w:pPr>
        <w:pStyle w:val="ListParagraph"/>
        <w:numPr>
          <w:ilvl w:val="0"/>
          <w:numId w:val="3"/>
        </w:numPr>
        <w:ind w:left="1080"/>
        <w:rPr>
          <w:rFonts w:ascii="Calibri" w:hAnsi="Calibri" w:cs="Calibri"/>
          <w:sz w:val="22"/>
          <w:szCs w:val="22"/>
        </w:rPr>
      </w:pPr>
      <w:r w:rsidRPr="00814E86">
        <w:rPr>
          <w:rFonts w:ascii="Calibri" w:hAnsi="Calibri" w:cs="Calibri"/>
          <w:b/>
          <w:bCs/>
          <w:sz w:val="22"/>
          <w:szCs w:val="22"/>
        </w:rPr>
        <w:lastRenderedPageBreak/>
        <w:t>A final conviction in another state of an offense that requires registration under the sex offender registration statutes of that state.</w:t>
      </w:r>
      <w:r w:rsidRPr="00814E86">
        <w:rPr>
          <w:rFonts w:ascii="Calibri" w:hAnsi="Calibri" w:cs="Calibri"/>
          <w:sz w:val="22"/>
          <w:szCs w:val="22"/>
        </w:rPr>
        <w:t xml:space="preserve"> This requirement is generally carried out by the sheriff’s office of the county to which the person moves. To apply this pathway, the registration authority should look to the law of the other state when evaluating whether the offense at issue is a conviction requiring registration there. Applying that rule, if another state </w:t>
      </w:r>
      <w:r w:rsidR="00814E86" w:rsidRPr="00814E86">
        <w:rPr>
          <w:rFonts w:ascii="Calibri" w:hAnsi="Calibri" w:cs="Calibri"/>
          <w:sz w:val="22"/>
          <w:szCs w:val="22"/>
        </w:rPr>
        <w:t xml:space="preserve">deems a </w:t>
      </w:r>
      <w:r w:rsidRPr="00814E86">
        <w:rPr>
          <w:rFonts w:ascii="Calibri" w:hAnsi="Calibri" w:cs="Calibri"/>
          <w:sz w:val="22"/>
          <w:szCs w:val="22"/>
        </w:rPr>
        <w:t xml:space="preserve">juvenile adjudication </w:t>
      </w:r>
      <w:r w:rsidR="00814E86" w:rsidRPr="00814E86">
        <w:rPr>
          <w:rFonts w:ascii="Calibri" w:hAnsi="Calibri" w:cs="Calibri"/>
          <w:sz w:val="22"/>
          <w:szCs w:val="22"/>
        </w:rPr>
        <w:t xml:space="preserve">to be a final conviction that requires registration </w:t>
      </w:r>
      <w:r w:rsidRPr="00814E86">
        <w:rPr>
          <w:rFonts w:ascii="Calibri" w:hAnsi="Calibri" w:cs="Calibri"/>
          <w:sz w:val="22"/>
          <w:szCs w:val="22"/>
        </w:rPr>
        <w:t xml:space="preserve">in that state, registration is required in North Carolina if the person moves here. </w:t>
      </w:r>
      <w:r w:rsidRPr="00814E86">
        <w:rPr>
          <w:rFonts w:ascii="Calibri" w:hAnsi="Calibri" w:cs="Calibri"/>
          <w:i/>
          <w:iCs/>
          <w:sz w:val="22"/>
          <w:szCs w:val="22"/>
        </w:rPr>
        <w:t xml:space="preserve">See </w:t>
      </w:r>
      <w:r w:rsidRPr="00814E86">
        <w:rPr>
          <w:rFonts w:ascii="Calibri" w:hAnsi="Calibri" w:cs="Calibri"/>
          <w:sz w:val="22"/>
          <w:szCs w:val="22"/>
        </w:rPr>
        <w:t xml:space="preserve">State v. Jackson, </w:t>
      </w:r>
      <w:r w:rsidR="00865113">
        <w:rPr>
          <w:rFonts w:ascii="Calibri" w:hAnsi="Calibri" w:cs="Calibri"/>
          <w:sz w:val="22"/>
          <w:szCs w:val="22"/>
        </w:rPr>
        <w:t xml:space="preserve">300 N.C. App. 95 </w:t>
      </w:r>
      <w:r w:rsidR="00814E86" w:rsidRPr="00814E86">
        <w:rPr>
          <w:rFonts w:ascii="Calibri" w:hAnsi="Calibri" w:cs="Calibri"/>
          <w:sz w:val="22"/>
          <w:szCs w:val="22"/>
        </w:rPr>
        <w:t>(2025) (a Delaware juvenile adjudication that required adult registration in Delaware triggered the registration requirement in North Carolina).</w:t>
      </w:r>
      <w:r w:rsidR="00814E86">
        <w:rPr>
          <w:rFonts w:ascii="Calibri" w:hAnsi="Calibri" w:cs="Calibri"/>
          <w:sz w:val="22"/>
          <w:szCs w:val="22"/>
        </w:rPr>
        <w:t xml:space="preserve"> </w:t>
      </w:r>
      <w:r w:rsidRPr="00814E86">
        <w:rPr>
          <w:rFonts w:ascii="Calibri" w:hAnsi="Calibri" w:cs="Calibri"/>
          <w:sz w:val="22"/>
          <w:szCs w:val="22"/>
        </w:rPr>
        <w:t>This requirement applies to eligible offenders who moved to North Carolina on or after December 1, 2006, and also to offenders who moved to North Carolina before that date if they serve active time; are on probation, parole, or post-release supervision</w:t>
      </w:r>
      <w:r w:rsidR="00261C04">
        <w:rPr>
          <w:rFonts w:ascii="Calibri" w:hAnsi="Calibri" w:cs="Calibri"/>
          <w:sz w:val="22"/>
          <w:szCs w:val="22"/>
        </w:rPr>
        <w:t>;</w:t>
      </w:r>
      <w:r w:rsidRPr="00814E86">
        <w:rPr>
          <w:rFonts w:ascii="Calibri" w:hAnsi="Calibri" w:cs="Calibri"/>
          <w:sz w:val="22"/>
          <w:szCs w:val="22"/>
        </w:rPr>
        <w:t xml:space="preserve"> are required to register for another offense in North Carolina; or are convicted of any felony on or after October 1, 2010. S.L. 2010-174. </w:t>
      </w:r>
    </w:p>
    <w:p w14:paraId="4E455BA9" w14:textId="46049081" w:rsidR="00814E86" w:rsidRPr="00814E86" w:rsidRDefault="00814E86" w:rsidP="00814E86">
      <w:pPr>
        <w:rPr>
          <w:rFonts w:ascii="Calibri" w:hAnsi="Calibri" w:cs="Calibri"/>
          <w:b/>
          <w:bCs/>
          <w:sz w:val="26"/>
          <w:szCs w:val="26"/>
        </w:rPr>
      </w:pPr>
      <w:r>
        <w:rPr>
          <w:rFonts w:ascii="Calibri" w:hAnsi="Calibri" w:cs="Calibri"/>
          <w:b/>
          <w:bCs/>
          <w:sz w:val="26"/>
          <w:szCs w:val="26"/>
        </w:rPr>
        <w:t>Substantial Similarity Determinations</w:t>
      </w:r>
    </w:p>
    <w:p w14:paraId="55DA39D6" w14:textId="09A705DF" w:rsidR="00814E86" w:rsidRDefault="00C008F4" w:rsidP="00814E86">
      <w:pPr>
        <w:ind w:left="720"/>
        <w:rPr>
          <w:rFonts w:ascii="Calibri" w:hAnsi="Calibri" w:cs="Calibri"/>
          <w:sz w:val="22"/>
          <w:szCs w:val="22"/>
        </w:rPr>
      </w:pPr>
      <w:r>
        <w:rPr>
          <w:rFonts w:ascii="Calibri" w:hAnsi="Calibri" w:cs="Calibri"/>
          <w:sz w:val="22"/>
          <w:szCs w:val="22"/>
        </w:rPr>
        <w:t>When a person is notified by a sheriff that they may be required to register based on federal conviction or conviction from another state that is purportedly substantially similar to a Nort</w:t>
      </w:r>
      <w:r w:rsidR="005004BA">
        <w:rPr>
          <w:rFonts w:ascii="Calibri" w:hAnsi="Calibri" w:cs="Calibri"/>
          <w:sz w:val="22"/>
          <w:szCs w:val="22"/>
        </w:rPr>
        <w:t>h</w:t>
      </w:r>
      <w:r>
        <w:rPr>
          <w:rFonts w:ascii="Calibri" w:hAnsi="Calibri" w:cs="Calibri"/>
          <w:sz w:val="22"/>
          <w:szCs w:val="22"/>
        </w:rPr>
        <w:t xml:space="preserve"> Carolina offense that requires registration, the person has a right to petition the superior court for a determination of the requirement to register. G.S. 14-208.12B.</w:t>
      </w:r>
    </w:p>
    <w:p w14:paraId="575D08F0" w14:textId="1246AC37" w:rsidR="003E7555" w:rsidRDefault="003E7555" w:rsidP="00C008F4">
      <w:pPr>
        <w:pStyle w:val="ListParagraph"/>
        <w:numPr>
          <w:ilvl w:val="0"/>
          <w:numId w:val="4"/>
        </w:numPr>
        <w:rPr>
          <w:rFonts w:ascii="Calibri" w:hAnsi="Calibri" w:cs="Calibri"/>
          <w:sz w:val="22"/>
          <w:szCs w:val="22"/>
        </w:rPr>
      </w:pPr>
      <w:r>
        <w:rPr>
          <w:rFonts w:ascii="Calibri" w:hAnsi="Calibri" w:cs="Calibri"/>
          <w:sz w:val="22"/>
          <w:szCs w:val="22"/>
        </w:rPr>
        <w:t xml:space="preserve">The defendant may use </w:t>
      </w:r>
      <w:r w:rsidRPr="005B10ED">
        <w:rPr>
          <w:rFonts w:ascii="Calibri" w:hAnsi="Calibri" w:cs="Calibri"/>
          <w:b/>
          <w:bCs/>
          <w:sz w:val="22"/>
          <w:szCs w:val="22"/>
        </w:rPr>
        <w:t>Form AOC-CV-656</w:t>
      </w:r>
      <w:r>
        <w:rPr>
          <w:rFonts w:ascii="Calibri" w:hAnsi="Calibri" w:cs="Calibri"/>
          <w:sz w:val="22"/>
          <w:szCs w:val="22"/>
        </w:rPr>
        <w:t xml:space="preserve"> to file the petition. </w:t>
      </w:r>
      <w:r w:rsidR="005B10ED">
        <w:rPr>
          <w:rFonts w:ascii="Calibri" w:hAnsi="Calibri" w:cs="Calibri"/>
          <w:sz w:val="22"/>
          <w:szCs w:val="22"/>
        </w:rPr>
        <w:t>Side two of that form serves as the court’s order.</w:t>
      </w:r>
    </w:p>
    <w:p w14:paraId="15469B81" w14:textId="09D27662" w:rsidR="00C008F4" w:rsidRDefault="00C008F4" w:rsidP="00C008F4">
      <w:pPr>
        <w:pStyle w:val="ListParagraph"/>
        <w:numPr>
          <w:ilvl w:val="0"/>
          <w:numId w:val="4"/>
        </w:numPr>
        <w:rPr>
          <w:rFonts w:ascii="Calibri" w:hAnsi="Calibri" w:cs="Calibri"/>
          <w:sz w:val="22"/>
          <w:szCs w:val="22"/>
        </w:rPr>
      </w:pPr>
      <w:r>
        <w:rPr>
          <w:rFonts w:ascii="Calibri" w:hAnsi="Calibri" w:cs="Calibri"/>
          <w:sz w:val="22"/>
          <w:szCs w:val="22"/>
        </w:rPr>
        <w:t>The petition is filed in the county of residence.</w:t>
      </w:r>
    </w:p>
    <w:p w14:paraId="0E53393F" w14:textId="08052AE9" w:rsidR="003E7555" w:rsidRDefault="003E7555" w:rsidP="00C008F4">
      <w:pPr>
        <w:pStyle w:val="ListParagraph"/>
        <w:numPr>
          <w:ilvl w:val="0"/>
          <w:numId w:val="4"/>
        </w:numPr>
        <w:rPr>
          <w:rFonts w:ascii="Calibri" w:hAnsi="Calibri" w:cs="Calibri"/>
          <w:sz w:val="22"/>
          <w:szCs w:val="22"/>
        </w:rPr>
      </w:pPr>
      <w:r>
        <w:rPr>
          <w:rFonts w:ascii="Calibri" w:hAnsi="Calibri" w:cs="Calibri"/>
          <w:sz w:val="22"/>
          <w:szCs w:val="22"/>
        </w:rPr>
        <w:t xml:space="preserve">The petitioner has a right to counsel, including the right to appointed counsel if he or she cannot afford to retain counsel. </w:t>
      </w:r>
    </w:p>
    <w:p w14:paraId="75ED841D" w14:textId="77777777" w:rsidR="003E7555" w:rsidRDefault="003E7555" w:rsidP="003E7555">
      <w:pPr>
        <w:pStyle w:val="ListParagraph"/>
        <w:numPr>
          <w:ilvl w:val="0"/>
          <w:numId w:val="4"/>
        </w:numPr>
        <w:rPr>
          <w:rFonts w:ascii="Calibri" w:hAnsi="Calibri" w:cs="Calibri"/>
          <w:sz w:val="22"/>
          <w:szCs w:val="22"/>
        </w:rPr>
      </w:pPr>
      <w:r>
        <w:rPr>
          <w:rFonts w:ascii="Calibri" w:hAnsi="Calibri" w:cs="Calibri"/>
          <w:sz w:val="22"/>
          <w:szCs w:val="22"/>
        </w:rPr>
        <w:t xml:space="preserve">The district attorney has the burden to prove, by a preponderance of the evidence, that </w:t>
      </w:r>
      <w:r w:rsidR="00C008F4" w:rsidRPr="00C008F4">
        <w:rPr>
          <w:rFonts w:ascii="Calibri" w:hAnsi="Calibri" w:cs="Calibri"/>
          <w:sz w:val="22"/>
          <w:szCs w:val="22"/>
        </w:rPr>
        <w:t xml:space="preserve">the person’s out-of-state or federal conviction is substantially similar to a sexually violent offense or offense against a minor. </w:t>
      </w:r>
    </w:p>
    <w:p w14:paraId="71680854" w14:textId="77777777" w:rsidR="003E7555" w:rsidRDefault="00C008F4" w:rsidP="003E7555">
      <w:pPr>
        <w:pStyle w:val="ListParagraph"/>
        <w:numPr>
          <w:ilvl w:val="0"/>
          <w:numId w:val="4"/>
        </w:numPr>
        <w:rPr>
          <w:rFonts w:ascii="Calibri" w:hAnsi="Calibri" w:cs="Calibri"/>
          <w:sz w:val="22"/>
          <w:szCs w:val="22"/>
        </w:rPr>
      </w:pPr>
      <w:r w:rsidRPr="00C008F4">
        <w:rPr>
          <w:rFonts w:ascii="Calibri" w:hAnsi="Calibri" w:cs="Calibri"/>
          <w:sz w:val="22"/>
          <w:szCs w:val="22"/>
        </w:rPr>
        <w:t xml:space="preserve">The court may review copies of the relevant law from the other jurisdiction to “compare the elements of the out-of-state or federal offense to those purportedly similar to a North Carolina offense.” </w:t>
      </w:r>
    </w:p>
    <w:p w14:paraId="0CA234CF" w14:textId="77777777" w:rsidR="003E7555" w:rsidRDefault="00C008F4" w:rsidP="003E7555">
      <w:pPr>
        <w:pStyle w:val="ListParagraph"/>
        <w:numPr>
          <w:ilvl w:val="0"/>
          <w:numId w:val="4"/>
        </w:numPr>
        <w:rPr>
          <w:rFonts w:ascii="Calibri" w:hAnsi="Calibri" w:cs="Calibri"/>
          <w:sz w:val="22"/>
          <w:szCs w:val="22"/>
        </w:rPr>
      </w:pPr>
      <w:r w:rsidRPr="00C008F4">
        <w:rPr>
          <w:rFonts w:ascii="Calibri" w:hAnsi="Calibri" w:cs="Calibri"/>
          <w:sz w:val="22"/>
          <w:szCs w:val="22"/>
        </w:rPr>
        <w:t xml:space="preserve">If the presiding superior court judge determines that the offense is indeed substantially similar, he or she orders registration. </w:t>
      </w:r>
    </w:p>
    <w:p w14:paraId="370A4A90" w14:textId="2628D046" w:rsidR="00C008F4" w:rsidRDefault="00C008F4" w:rsidP="003E7555">
      <w:pPr>
        <w:pStyle w:val="ListParagraph"/>
        <w:numPr>
          <w:ilvl w:val="0"/>
          <w:numId w:val="4"/>
        </w:numPr>
        <w:rPr>
          <w:rFonts w:ascii="Calibri" w:hAnsi="Calibri" w:cs="Calibri"/>
          <w:sz w:val="22"/>
          <w:szCs w:val="22"/>
        </w:rPr>
      </w:pPr>
      <w:r w:rsidRPr="00C008F4">
        <w:rPr>
          <w:rFonts w:ascii="Calibri" w:hAnsi="Calibri" w:cs="Calibri"/>
          <w:sz w:val="22"/>
          <w:szCs w:val="22"/>
        </w:rPr>
        <w:t xml:space="preserve">If </w:t>
      </w:r>
      <w:r w:rsidR="003E7555">
        <w:rPr>
          <w:rFonts w:ascii="Calibri" w:hAnsi="Calibri" w:cs="Calibri"/>
          <w:sz w:val="22"/>
          <w:szCs w:val="22"/>
        </w:rPr>
        <w:t xml:space="preserve">the judge does not deem the offense to be </w:t>
      </w:r>
      <w:r w:rsidRPr="00C008F4">
        <w:rPr>
          <w:rFonts w:ascii="Calibri" w:hAnsi="Calibri" w:cs="Calibri"/>
          <w:sz w:val="22"/>
          <w:szCs w:val="22"/>
        </w:rPr>
        <w:t>substantially similar, the judge indicates in an order that the person is not required to register based on the out-of-state offense</w:t>
      </w:r>
      <w:r w:rsidR="003E7555">
        <w:rPr>
          <w:rFonts w:ascii="Calibri" w:hAnsi="Calibri" w:cs="Calibri"/>
          <w:sz w:val="22"/>
          <w:szCs w:val="22"/>
        </w:rPr>
        <w:t>.</w:t>
      </w:r>
    </w:p>
    <w:p w14:paraId="3E5F1A14" w14:textId="0EC8BA33" w:rsidR="0065619B" w:rsidRPr="0065619B" w:rsidRDefault="003E7555" w:rsidP="003E7555">
      <w:pPr>
        <w:ind w:left="720"/>
        <w:rPr>
          <w:rFonts w:ascii="Calibri" w:hAnsi="Calibri" w:cs="Calibri"/>
          <w:sz w:val="22"/>
          <w:szCs w:val="22"/>
        </w:rPr>
      </w:pPr>
      <w:r>
        <w:rPr>
          <w:rFonts w:ascii="Calibri" w:hAnsi="Calibri" w:cs="Calibri"/>
          <w:sz w:val="22"/>
          <w:szCs w:val="22"/>
        </w:rPr>
        <w:t xml:space="preserve">In </w:t>
      </w:r>
      <w:r>
        <w:rPr>
          <w:rFonts w:ascii="Calibri" w:hAnsi="Calibri" w:cs="Calibri"/>
          <w:i/>
          <w:iCs/>
          <w:sz w:val="22"/>
          <w:szCs w:val="22"/>
        </w:rPr>
        <w:t xml:space="preserve">In re </w:t>
      </w:r>
      <w:proofErr w:type="spellStart"/>
      <w:r>
        <w:rPr>
          <w:rFonts w:ascii="Calibri" w:hAnsi="Calibri" w:cs="Calibri"/>
          <w:i/>
          <w:iCs/>
          <w:sz w:val="22"/>
          <w:szCs w:val="22"/>
        </w:rPr>
        <w:t>Laliveres</w:t>
      </w:r>
      <w:proofErr w:type="spellEnd"/>
      <w:r>
        <w:rPr>
          <w:rFonts w:ascii="Calibri" w:hAnsi="Calibri" w:cs="Calibri"/>
          <w:sz w:val="22"/>
          <w:szCs w:val="22"/>
        </w:rPr>
        <w:t xml:space="preserve">, 292 N.C. App. 422 (2024), the Court of Appeals noted that the procedure outlined in G.S. 14-208.12B does not apply to a person </w:t>
      </w:r>
      <w:r w:rsidR="00B20351">
        <w:rPr>
          <w:rFonts w:ascii="Calibri" w:hAnsi="Calibri" w:cs="Calibri"/>
          <w:sz w:val="22"/>
          <w:szCs w:val="22"/>
        </w:rPr>
        <w:t xml:space="preserve">also </w:t>
      </w:r>
      <w:r>
        <w:rPr>
          <w:rFonts w:ascii="Calibri" w:hAnsi="Calibri" w:cs="Calibri"/>
          <w:sz w:val="22"/>
          <w:szCs w:val="22"/>
        </w:rPr>
        <w:t>required to register in North Carolina based on the second pathway outlined above—</w:t>
      </w:r>
      <w:r w:rsidR="0065619B" w:rsidRPr="0065619B">
        <w:rPr>
          <w:rFonts w:ascii="Calibri" w:hAnsi="Calibri" w:cs="Calibri"/>
          <w:sz w:val="22"/>
          <w:szCs w:val="22"/>
        </w:rPr>
        <w:t>that the offense requires registration under the law of the state of conviction.</w:t>
      </w:r>
      <w:r w:rsidRPr="003E7555">
        <w:rPr>
          <w:rFonts w:ascii="Calibri" w:hAnsi="Calibri" w:cs="Calibri"/>
          <w:sz w:val="22"/>
          <w:szCs w:val="22"/>
        </w:rPr>
        <w:t xml:space="preserve"> B</w:t>
      </w:r>
      <w:r w:rsidR="0065619B" w:rsidRPr="0065619B">
        <w:rPr>
          <w:rFonts w:ascii="Calibri" w:hAnsi="Calibri" w:cs="Calibri"/>
          <w:sz w:val="22"/>
          <w:szCs w:val="22"/>
        </w:rPr>
        <w:t xml:space="preserve">ecause </w:t>
      </w:r>
      <w:r w:rsidRPr="003E7555">
        <w:rPr>
          <w:rFonts w:ascii="Calibri" w:hAnsi="Calibri" w:cs="Calibri"/>
          <w:sz w:val="22"/>
          <w:szCs w:val="22"/>
        </w:rPr>
        <w:t xml:space="preserve">the petitioner’s </w:t>
      </w:r>
      <w:r w:rsidR="0065619B" w:rsidRPr="0065619B">
        <w:rPr>
          <w:rFonts w:ascii="Calibri" w:hAnsi="Calibri" w:cs="Calibri"/>
          <w:sz w:val="22"/>
          <w:szCs w:val="22"/>
        </w:rPr>
        <w:t xml:space="preserve">rape conviction </w:t>
      </w:r>
      <w:r w:rsidR="00F930FF">
        <w:rPr>
          <w:rFonts w:ascii="Calibri" w:hAnsi="Calibri" w:cs="Calibri"/>
          <w:sz w:val="22"/>
          <w:szCs w:val="22"/>
        </w:rPr>
        <w:t xml:space="preserve">in that case </w:t>
      </w:r>
      <w:r w:rsidR="0065619B" w:rsidRPr="0065619B">
        <w:rPr>
          <w:rFonts w:ascii="Calibri" w:hAnsi="Calibri" w:cs="Calibri"/>
          <w:sz w:val="22"/>
          <w:szCs w:val="22"/>
        </w:rPr>
        <w:t>require</w:t>
      </w:r>
      <w:r w:rsidR="00F930FF">
        <w:rPr>
          <w:rFonts w:ascii="Calibri" w:hAnsi="Calibri" w:cs="Calibri"/>
          <w:sz w:val="22"/>
          <w:szCs w:val="22"/>
        </w:rPr>
        <w:t>d</w:t>
      </w:r>
      <w:r w:rsidR="0065619B" w:rsidRPr="0065619B">
        <w:rPr>
          <w:rFonts w:ascii="Calibri" w:hAnsi="Calibri" w:cs="Calibri"/>
          <w:sz w:val="22"/>
          <w:szCs w:val="22"/>
        </w:rPr>
        <w:t xml:space="preserve"> registration in New York, it require</w:t>
      </w:r>
      <w:r w:rsidR="00F930FF">
        <w:rPr>
          <w:rFonts w:ascii="Calibri" w:hAnsi="Calibri" w:cs="Calibri"/>
          <w:sz w:val="22"/>
          <w:szCs w:val="22"/>
        </w:rPr>
        <w:t>d</w:t>
      </w:r>
      <w:r w:rsidR="0065619B" w:rsidRPr="0065619B">
        <w:rPr>
          <w:rFonts w:ascii="Calibri" w:hAnsi="Calibri" w:cs="Calibri"/>
          <w:sz w:val="22"/>
          <w:szCs w:val="22"/>
        </w:rPr>
        <w:t xml:space="preserve"> registration here “independent of any substantial similarity analysis.”</w:t>
      </w:r>
    </w:p>
    <w:p w14:paraId="7D648D53" w14:textId="136CD4A1" w:rsidR="00775D29" w:rsidRDefault="00775D29" w:rsidP="00775D29">
      <w:pPr>
        <w:rPr>
          <w:rFonts w:ascii="Calibri" w:hAnsi="Calibri" w:cs="Calibri"/>
          <w:b/>
          <w:bCs/>
          <w:sz w:val="26"/>
          <w:szCs w:val="22"/>
        </w:rPr>
      </w:pPr>
      <w:r w:rsidRPr="00814E86">
        <w:rPr>
          <w:rFonts w:ascii="Calibri" w:hAnsi="Calibri" w:cs="Calibri"/>
          <w:b/>
          <w:bCs/>
          <w:sz w:val="26"/>
          <w:szCs w:val="22"/>
        </w:rPr>
        <w:lastRenderedPageBreak/>
        <w:t>Length of Registration</w:t>
      </w:r>
    </w:p>
    <w:p w14:paraId="6EA9C04F" w14:textId="77777777" w:rsidR="0051446E" w:rsidRPr="00814E86" w:rsidRDefault="0051446E" w:rsidP="00775D29">
      <w:pPr>
        <w:rPr>
          <w:rFonts w:ascii="Calibri" w:hAnsi="Calibri" w:cs="Calibri"/>
          <w:b/>
          <w:bCs/>
          <w:sz w:val="26"/>
          <w:szCs w:val="22"/>
        </w:rPr>
      </w:pPr>
    </w:p>
    <w:p w14:paraId="776C1D9B" w14:textId="7098296A" w:rsidR="0042379C" w:rsidRPr="0042379C" w:rsidRDefault="005E1030" w:rsidP="0042379C">
      <w:pPr>
        <w:ind w:left="720"/>
        <w:rPr>
          <w:rFonts w:ascii="Calibri" w:hAnsi="Calibri" w:cs="Calibri"/>
          <w:sz w:val="22"/>
          <w:szCs w:val="22"/>
        </w:rPr>
      </w:pPr>
      <w:r w:rsidRPr="005E1030">
        <w:rPr>
          <w:rFonts w:ascii="Calibri" w:hAnsi="Calibri" w:cs="Calibri"/>
          <w:b/>
          <w:bCs/>
          <w:sz w:val="22"/>
          <w:szCs w:val="22"/>
        </w:rPr>
        <w:t>Regular registration.</w:t>
      </w:r>
      <w:r>
        <w:rPr>
          <w:rFonts w:ascii="Calibri" w:hAnsi="Calibri" w:cs="Calibri"/>
          <w:sz w:val="22"/>
          <w:szCs w:val="22"/>
        </w:rPr>
        <w:t xml:space="preserve"> The baseline registration period for a reportable offense is 30 years. G.S. 14-208.7. A person </w:t>
      </w:r>
      <w:r w:rsidR="00F90437">
        <w:rPr>
          <w:rFonts w:ascii="Calibri" w:hAnsi="Calibri" w:cs="Calibri"/>
          <w:sz w:val="22"/>
          <w:szCs w:val="22"/>
        </w:rPr>
        <w:t xml:space="preserve">not subject to lifetime registration (discussed below) </w:t>
      </w:r>
      <w:r>
        <w:rPr>
          <w:rFonts w:ascii="Calibri" w:hAnsi="Calibri" w:cs="Calibri"/>
          <w:sz w:val="22"/>
          <w:szCs w:val="22"/>
        </w:rPr>
        <w:t>may petition for early termination of that registration period after 10 years under G.S. 14-208.12A</w:t>
      </w:r>
      <w:r w:rsidR="00F90437">
        <w:rPr>
          <w:rFonts w:ascii="Calibri" w:hAnsi="Calibri" w:cs="Calibri"/>
          <w:sz w:val="22"/>
          <w:szCs w:val="22"/>
        </w:rPr>
        <w:t>.</w:t>
      </w:r>
      <w:r w:rsidR="00BF4C60">
        <w:rPr>
          <w:rFonts w:ascii="Calibri" w:hAnsi="Calibri" w:cs="Calibri"/>
          <w:sz w:val="22"/>
          <w:szCs w:val="22"/>
        </w:rPr>
        <w:t xml:space="preserve"> As a practical matter, many </w:t>
      </w:r>
      <w:r w:rsidR="00EF6582">
        <w:rPr>
          <w:rFonts w:ascii="Calibri" w:hAnsi="Calibri" w:cs="Calibri"/>
          <w:sz w:val="22"/>
          <w:szCs w:val="22"/>
        </w:rPr>
        <w:t xml:space="preserve">registrants will have to register for longer than 10 years due to </w:t>
      </w:r>
      <w:r w:rsidR="006A63DF">
        <w:rPr>
          <w:rFonts w:ascii="Calibri" w:hAnsi="Calibri" w:cs="Calibri"/>
          <w:sz w:val="22"/>
          <w:szCs w:val="22"/>
        </w:rPr>
        <w:t>the</w:t>
      </w:r>
      <w:r w:rsidR="00007EE3">
        <w:rPr>
          <w:rFonts w:ascii="Calibri" w:hAnsi="Calibri" w:cs="Calibri"/>
          <w:sz w:val="22"/>
          <w:szCs w:val="22"/>
        </w:rPr>
        <w:t xml:space="preserve"> incorporation of federal standards through G.S. 14-208.12A(a</w:t>
      </w:r>
      <w:proofErr w:type="gramStart"/>
      <w:r w:rsidR="00007EE3">
        <w:rPr>
          <w:rFonts w:ascii="Calibri" w:hAnsi="Calibri" w:cs="Calibri"/>
          <w:sz w:val="22"/>
          <w:szCs w:val="22"/>
        </w:rPr>
        <w:t>1)(</w:t>
      </w:r>
      <w:proofErr w:type="gramEnd"/>
      <w:r w:rsidR="00007EE3">
        <w:rPr>
          <w:rFonts w:ascii="Calibri" w:hAnsi="Calibri" w:cs="Calibri"/>
          <w:sz w:val="22"/>
          <w:szCs w:val="22"/>
        </w:rPr>
        <w:t xml:space="preserve">2). </w:t>
      </w:r>
      <w:r w:rsidR="00C73E77">
        <w:rPr>
          <w:rFonts w:ascii="Calibri" w:hAnsi="Calibri" w:cs="Calibri"/>
          <w:i/>
          <w:iCs/>
          <w:sz w:val="22"/>
          <w:szCs w:val="22"/>
        </w:rPr>
        <w:t xml:space="preserve">See </w:t>
      </w:r>
      <w:r w:rsidR="0042379C">
        <w:rPr>
          <w:rFonts w:ascii="Calibri" w:hAnsi="Calibri" w:cs="Calibri"/>
          <w:sz w:val="22"/>
          <w:szCs w:val="22"/>
        </w:rPr>
        <w:t xml:space="preserve">Jamie Markham, </w:t>
      </w:r>
      <w:r w:rsidR="0042379C" w:rsidRPr="0042379C">
        <w:rPr>
          <w:rFonts w:ascii="Calibri" w:hAnsi="Calibri" w:cs="Calibri"/>
          <w:i/>
          <w:iCs/>
          <w:sz w:val="22"/>
          <w:szCs w:val="22"/>
        </w:rPr>
        <w:t>The Wetterling Finding: Not an Unconstitutional Delegation</w:t>
      </w:r>
      <w:r w:rsidR="0042379C">
        <w:rPr>
          <w:rFonts w:ascii="Calibri" w:hAnsi="Calibri" w:cs="Calibri"/>
          <w:sz w:val="22"/>
          <w:szCs w:val="22"/>
        </w:rPr>
        <w:t xml:space="preserve">, </w:t>
      </w:r>
      <w:r w:rsidR="0042379C">
        <w:rPr>
          <w:rFonts w:ascii="Calibri" w:hAnsi="Calibri" w:cs="Calibri"/>
          <w:smallCaps/>
          <w:sz w:val="22"/>
          <w:szCs w:val="22"/>
        </w:rPr>
        <w:t>N.C. Crim. L. Blog</w:t>
      </w:r>
      <w:r w:rsidR="0042379C">
        <w:rPr>
          <w:rFonts w:ascii="Calibri" w:hAnsi="Calibri" w:cs="Calibri"/>
          <w:sz w:val="22"/>
          <w:szCs w:val="22"/>
        </w:rPr>
        <w:t>, Apr. 23, 2013.</w:t>
      </w:r>
    </w:p>
    <w:p w14:paraId="4FF4AE90" w14:textId="77777777" w:rsidR="005E1030" w:rsidRDefault="005E1030" w:rsidP="005E1030">
      <w:pPr>
        <w:ind w:left="720"/>
        <w:rPr>
          <w:rFonts w:ascii="Calibri" w:hAnsi="Calibri" w:cs="Calibri"/>
          <w:sz w:val="22"/>
          <w:szCs w:val="22"/>
        </w:rPr>
      </w:pPr>
    </w:p>
    <w:p w14:paraId="7B7AB34C" w14:textId="5B3B086B" w:rsidR="005E1030" w:rsidRDefault="005E1030" w:rsidP="005E1030">
      <w:pPr>
        <w:ind w:left="720"/>
        <w:rPr>
          <w:rFonts w:ascii="Calibri" w:hAnsi="Calibri" w:cs="Calibri"/>
          <w:sz w:val="22"/>
          <w:szCs w:val="22"/>
        </w:rPr>
      </w:pPr>
      <w:r w:rsidRPr="005E1030">
        <w:rPr>
          <w:rFonts w:ascii="Calibri" w:hAnsi="Calibri" w:cs="Calibri"/>
          <w:b/>
          <w:bCs/>
          <w:sz w:val="22"/>
          <w:szCs w:val="22"/>
        </w:rPr>
        <w:t xml:space="preserve">Lifetime registration. </w:t>
      </w:r>
      <w:r>
        <w:rPr>
          <w:rFonts w:ascii="Calibri" w:hAnsi="Calibri" w:cs="Calibri"/>
          <w:sz w:val="22"/>
          <w:szCs w:val="22"/>
        </w:rPr>
        <w:t xml:space="preserve">The following </w:t>
      </w:r>
      <w:r w:rsidR="0051446E">
        <w:rPr>
          <w:rFonts w:ascii="Calibri" w:hAnsi="Calibri" w:cs="Calibri"/>
          <w:sz w:val="22"/>
          <w:szCs w:val="22"/>
        </w:rPr>
        <w:t xml:space="preserve">three </w:t>
      </w:r>
      <w:r>
        <w:rPr>
          <w:rFonts w:ascii="Calibri" w:hAnsi="Calibri" w:cs="Calibri"/>
          <w:sz w:val="22"/>
          <w:szCs w:val="22"/>
        </w:rPr>
        <w:t xml:space="preserve">categories of offenders must register for life. </w:t>
      </w:r>
    </w:p>
    <w:p w14:paraId="39E41C67" w14:textId="77777777" w:rsidR="00595344" w:rsidRPr="00595344" w:rsidRDefault="00595344" w:rsidP="00595344">
      <w:pPr>
        <w:pStyle w:val="ListParagraph"/>
        <w:ind w:left="1080"/>
        <w:rPr>
          <w:rFonts w:ascii="Calibri" w:hAnsi="Calibri" w:cs="Calibri"/>
          <w:sz w:val="22"/>
          <w:szCs w:val="22"/>
        </w:rPr>
      </w:pPr>
    </w:p>
    <w:p w14:paraId="76307446" w14:textId="399C8DF1" w:rsidR="00917004" w:rsidRPr="00115869" w:rsidRDefault="005E1030" w:rsidP="00917004">
      <w:pPr>
        <w:pStyle w:val="ListParagraph"/>
        <w:numPr>
          <w:ilvl w:val="0"/>
          <w:numId w:val="4"/>
        </w:numPr>
        <w:rPr>
          <w:rFonts w:ascii="Calibri" w:hAnsi="Calibri" w:cs="Calibri"/>
          <w:sz w:val="22"/>
          <w:szCs w:val="22"/>
        </w:rPr>
      </w:pPr>
      <w:r w:rsidRPr="00115869">
        <w:rPr>
          <w:rFonts w:ascii="Calibri" w:hAnsi="Calibri" w:cs="Calibri"/>
          <w:b/>
          <w:bCs/>
          <w:sz w:val="22"/>
          <w:szCs w:val="22"/>
        </w:rPr>
        <w:t>Recidivists</w:t>
      </w:r>
      <w:r w:rsidR="009E4159">
        <w:rPr>
          <w:rFonts w:ascii="Calibri" w:hAnsi="Calibri" w:cs="Calibri"/>
          <w:b/>
          <w:bCs/>
          <w:sz w:val="22"/>
          <w:szCs w:val="22"/>
        </w:rPr>
        <w:t xml:space="preserve"> </w:t>
      </w:r>
      <w:r w:rsidR="009E4159">
        <w:rPr>
          <w:rFonts w:ascii="Calibri" w:hAnsi="Calibri" w:cs="Calibri"/>
          <w:sz w:val="22"/>
          <w:szCs w:val="22"/>
        </w:rPr>
        <w:t>(G.S. 14-208.6</w:t>
      </w:r>
      <w:r w:rsidR="00B2070D">
        <w:rPr>
          <w:rFonts w:ascii="Calibri" w:hAnsi="Calibri" w:cs="Calibri"/>
          <w:sz w:val="22"/>
          <w:szCs w:val="22"/>
        </w:rPr>
        <w:t>(2b)).</w:t>
      </w:r>
      <w:r w:rsidRPr="00115869">
        <w:rPr>
          <w:rFonts w:ascii="Calibri" w:hAnsi="Calibri" w:cs="Calibri"/>
          <w:sz w:val="22"/>
          <w:szCs w:val="22"/>
        </w:rPr>
        <w:t xml:space="preserve"> A person who has a prior conviction for an offense that is described in G.S. 14</w:t>
      </w:r>
      <w:r w:rsidRPr="00115869">
        <w:rPr>
          <w:rFonts w:ascii="Calibri" w:hAnsi="Calibri" w:cs="Calibri"/>
          <w:sz w:val="22"/>
          <w:szCs w:val="22"/>
        </w:rPr>
        <w:noBreakHyphen/>
        <w:t>208.6(4)</w:t>
      </w:r>
      <w:r w:rsidR="00904B90" w:rsidRPr="00115869">
        <w:rPr>
          <w:rFonts w:ascii="Calibri" w:hAnsi="Calibri" w:cs="Calibri"/>
          <w:sz w:val="22"/>
          <w:szCs w:val="22"/>
        </w:rPr>
        <w:t>.</w:t>
      </w:r>
      <w:r w:rsidR="00917004" w:rsidRPr="00115869">
        <w:rPr>
          <w:rFonts w:ascii="Calibri" w:hAnsi="Calibri" w:cs="Calibri"/>
          <w:sz w:val="22"/>
          <w:szCs w:val="22"/>
        </w:rPr>
        <w:t xml:space="preserve"> At least one of a person’s convictions </w:t>
      </w:r>
      <w:r w:rsidR="00115869" w:rsidRPr="00115869">
        <w:rPr>
          <w:rFonts w:ascii="Calibri" w:hAnsi="Calibri" w:cs="Calibri"/>
          <w:sz w:val="22"/>
          <w:szCs w:val="22"/>
        </w:rPr>
        <w:t xml:space="preserve">must have been committed on or after October 1, 2001, for him or her to qualify as </w:t>
      </w:r>
      <w:r w:rsidR="00115869">
        <w:rPr>
          <w:rFonts w:ascii="Calibri" w:hAnsi="Calibri" w:cs="Calibri"/>
          <w:sz w:val="22"/>
          <w:szCs w:val="22"/>
        </w:rPr>
        <w:t>recidivist</w:t>
      </w:r>
      <w:r w:rsidR="008C1F93">
        <w:rPr>
          <w:rFonts w:ascii="Calibri" w:hAnsi="Calibri" w:cs="Calibri"/>
          <w:sz w:val="22"/>
          <w:szCs w:val="22"/>
        </w:rPr>
        <w:t xml:space="preserve">; a conviction for an offense that occurred before that can qualify as a prior conviction. State v. Wooten, 194 N.C. App. </w:t>
      </w:r>
      <w:r w:rsidR="00F76650">
        <w:rPr>
          <w:rFonts w:ascii="Calibri" w:hAnsi="Calibri" w:cs="Calibri"/>
          <w:sz w:val="22"/>
          <w:szCs w:val="22"/>
        </w:rPr>
        <w:t>524 (2008); S.L. 2001-373.</w:t>
      </w:r>
    </w:p>
    <w:p w14:paraId="25F09787" w14:textId="77777777" w:rsidR="0051446E" w:rsidRDefault="0051446E" w:rsidP="0051446E">
      <w:pPr>
        <w:pStyle w:val="ListParagraph"/>
        <w:ind w:left="1080"/>
        <w:rPr>
          <w:rFonts w:ascii="Calibri" w:hAnsi="Calibri" w:cs="Calibri"/>
          <w:b/>
          <w:bCs/>
          <w:sz w:val="22"/>
          <w:szCs w:val="22"/>
        </w:rPr>
      </w:pPr>
    </w:p>
    <w:p w14:paraId="74FC6D21" w14:textId="17B4498B" w:rsidR="005E1030" w:rsidRPr="005E1030" w:rsidRDefault="0051446E" w:rsidP="005E1030">
      <w:pPr>
        <w:pStyle w:val="ListParagraph"/>
        <w:numPr>
          <w:ilvl w:val="0"/>
          <w:numId w:val="4"/>
        </w:numPr>
        <w:rPr>
          <w:rFonts w:ascii="Calibri" w:hAnsi="Calibri" w:cs="Calibri"/>
          <w:b/>
          <w:bCs/>
          <w:sz w:val="22"/>
          <w:szCs w:val="22"/>
        </w:rPr>
      </w:pPr>
      <w:r>
        <w:rPr>
          <w:rFonts w:ascii="Calibri" w:hAnsi="Calibri" w:cs="Calibri"/>
          <w:b/>
          <w:bCs/>
          <w:sz w:val="22"/>
          <w:szCs w:val="22"/>
        </w:rPr>
        <w:t>A</w:t>
      </w:r>
      <w:r w:rsidR="005E1030" w:rsidRPr="005E1030">
        <w:rPr>
          <w:rFonts w:ascii="Calibri" w:hAnsi="Calibri" w:cs="Calibri"/>
          <w:b/>
          <w:bCs/>
          <w:sz w:val="22"/>
          <w:szCs w:val="22"/>
        </w:rPr>
        <w:t>ggravated offense</w:t>
      </w:r>
      <w:r>
        <w:rPr>
          <w:rFonts w:ascii="Calibri" w:hAnsi="Calibri" w:cs="Calibri"/>
          <w:b/>
          <w:bCs/>
          <w:sz w:val="22"/>
          <w:szCs w:val="22"/>
        </w:rPr>
        <w:t>s</w:t>
      </w:r>
      <w:r w:rsidR="009E4159">
        <w:rPr>
          <w:rFonts w:ascii="Calibri" w:hAnsi="Calibri" w:cs="Calibri"/>
          <w:sz w:val="22"/>
          <w:szCs w:val="22"/>
        </w:rPr>
        <w:t xml:space="preserve"> (G.S. 14-208.6(1a))</w:t>
      </w:r>
    </w:p>
    <w:p w14:paraId="2FA35AD5" w14:textId="77777777" w:rsidR="005E1030" w:rsidRPr="005E1030" w:rsidRDefault="005E1030" w:rsidP="005E1030">
      <w:pPr>
        <w:pStyle w:val="ListParagraph"/>
        <w:numPr>
          <w:ilvl w:val="1"/>
          <w:numId w:val="4"/>
        </w:numPr>
        <w:rPr>
          <w:rFonts w:ascii="Calibri" w:hAnsi="Calibri" w:cs="Calibri"/>
          <w:sz w:val="22"/>
          <w:szCs w:val="22"/>
        </w:rPr>
      </w:pPr>
      <w:r w:rsidRPr="005E1030">
        <w:rPr>
          <w:rFonts w:ascii="Calibri" w:hAnsi="Calibri" w:cs="Calibri"/>
          <w:sz w:val="22"/>
          <w:szCs w:val="22"/>
        </w:rPr>
        <w:t xml:space="preserve">Engaging in a sexual act involving vaginal, anal, or oral penetration with a victim of any age </w:t>
      </w:r>
      <w:proofErr w:type="gramStart"/>
      <w:r w:rsidRPr="005E1030">
        <w:rPr>
          <w:rFonts w:ascii="Calibri" w:hAnsi="Calibri" w:cs="Calibri"/>
          <w:sz w:val="22"/>
          <w:szCs w:val="22"/>
        </w:rPr>
        <w:t>through the use of</w:t>
      </w:r>
      <w:proofErr w:type="gramEnd"/>
      <w:r w:rsidRPr="005E1030">
        <w:rPr>
          <w:rFonts w:ascii="Calibri" w:hAnsi="Calibri" w:cs="Calibri"/>
          <w:sz w:val="22"/>
          <w:szCs w:val="22"/>
        </w:rPr>
        <w:t xml:space="preserve"> force or the threat of serious violence; or </w:t>
      </w:r>
    </w:p>
    <w:p w14:paraId="1AB12AE8" w14:textId="77777777" w:rsidR="00B901D7" w:rsidRDefault="005E1030" w:rsidP="00B901D7">
      <w:pPr>
        <w:pStyle w:val="ListParagraph"/>
        <w:numPr>
          <w:ilvl w:val="1"/>
          <w:numId w:val="4"/>
        </w:numPr>
        <w:rPr>
          <w:rFonts w:ascii="Calibri" w:hAnsi="Calibri" w:cs="Calibri"/>
          <w:sz w:val="22"/>
          <w:szCs w:val="22"/>
        </w:rPr>
      </w:pPr>
      <w:r w:rsidRPr="005E1030">
        <w:rPr>
          <w:rFonts w:ascii="Calibri" w:hAnsi="Calibri" w:cs="Calibri"/>
          <w:sz w:val="22"/>
          <w:szCs w:val="22"/>
        </w:rPr>
        <w:t>Engaging in a sexual act involving vaginal, anal, or oral penetration with a victim who is less than 12 years old.</w:t>
      </w:r>
    </w:p>
    <w:p w14:paraId="4CB022CE" w14:textId="03F93715" w:rsidR="00CC0BE5" w:rsidRPr="00CC0BE5" w:rsidRDefault="00CC0BE5" w:rsidP="00CC0BE5">
      <w:pPr>
        <w:pStyle w:val="ListParagraph"/>
        <w:ind w:left="1080"/>
        <w:rPr>
          <w:rFonts w:ascii="Calibri" w:hAnsi="Calibri" w:cs="Calibri"/>
          <w:sz w:val="22"/>
          <w:szCs w:val="22"/>
        </w:rPr>
      </w:pPr>
      <w:r w:rsidRPr="00CC0BE5">
        <w:rPr>
          <w:rFonts w:ascii="Calibri" w:hAnsi="Calibri" w:cs="Calibri"/>
          <w:sz w:val="22"/>
          <w:szCs w:val="22"/>
        </w:rPr>
        <w:t>The definition of aggravated offense applies only to offenses committed on or after October 1, 2001</w:t>
      </w:r>
      <w:r>
        <w:rPr>
          <w:rFonts w:ascii="Calibri" w:hAnsi="Calibri" w:cs="Calibri"/>
          <w:sz w:val="22"/>
          <w:szCs w:val="22"/>
        </w:rPr>
        <w:t xml:space="preserve">. S.L. </w:t>
      </w:r>
      <w:r w:rsidR="00342625">
        <w:rPr>
          <w:rFonts w:ascii="Calibri" w:hAnsi="Calibri" w:cs="Calibri"/>
          <w:sz w:val="22"/>
          <w:szCs w:val="22"/>
        </w:rPr>
        <w:t>2001-373.</w:t>
      </w:r>
    </w:p>
    <w:p w14:paraId="545DB12C" w14:textId="7F911421" w:rsidR="00D86F7F" w:rsidRDefault="00B901D7" w:rsidP="00120C24">
      <w:pPr>
        <w:ind w:left="1080"/>
        <w:rPr>
          <w:rFonts w:ascii="Calibri" w:hAnsi="Calibri" w:cs="Calibri"/>
          <w:sz w:val="22"/>
          <w:szCs w:val="22"/>
        </w:rPr>
      </w:pPr>
      <w:r w:rsidRPr="00B901D7">
        <w:rPr>
          <w:rFonts w:ascii="Calibri" w:hAnsi="Calibri" w:cs="Calibri"/>
          <w:sz w:val="22"/>
          <w:szCs w:val="22"/>
        </w:rPr>
        <w:t xml:space="preserve">As </w:t>
      </w:r>
      <w:r>
        <w:rPr>
          <w:rFonts w:ascii="Calibri" w:hAnsi="Calibri" w:cs="Calibri"/>
          <w:sz w:val="22"/>
          <w:szCs w:val="22"/>
        </w:rPr>
        <w:t xml:space="preserve">interpreted by the appellate courts, </w:t>
      </w:r>
      <w:r w:rsidR="00F937E4">
        <w:rPr>
          <w:rFonts w:ascii="Calibri" w:hAnsi="Calibri" w:cs="Calibri"/>
          <w:sz w:val="22"/>
          <w:szCs w:val="22"/>
        </w:rPr>
        <w:t xml:space="preserve">the determination of whether a conviction is an aggravated offense </w:t>
      </w:r>
      <w:r w:rsidR="00F66837">
        <w:rPr>
          <w:rFonts w:ascii="Calibri" w:hAnsi="Calibri" w:cs="Calibri"/>
          <w:sz w:val="22"/>
          <w:szCs w:val="22"/>
        </w:rPr>
        <w:t>is made by looking only at the elements of the conviction offense, not the underlying facts of the crime. State v. Davison, 201 N.C. App. 354 (</w:t>
      </w:r>
      <w:r w:rsidR="00C12BA8">
        <w:rPr>
          <w:rFonts w:ascii="Calibri" w:hAnsi="Calibri" w:cs="Calibri"/>
          <w:sz w:val="22"/>
          <w:szCs w:val="22"/>
        </w:rPr>
        <w:t xml:space="preserve">2009). Under that approach, only </w:t>
      </w:r>
      <w:r w:rsidR="00734025">
        <w:rPr>
          <w:rFonts w:ascii="Calibri" w:hAnsi="Calibri" w:cs="Calibri"/>
          <w:sz w:val="22"/>
          <w:szCs w:val="22"/>
        </w:rPr>
        <w:t>completed rape offenses meet</w:t>
      </w:r>
      <w:r w:rsidR="00C12BA8">
        <w:rPr>
          <w:rFonts w:ascii="Calibri" w:hAnsi="Calibri" w:cs="Calibri"/>
          <w:sz w:val="22"/>
          <w:szCs w:val="22"/>
        </w:rPr>
        <w:t xml:space="preserve"> the definition</w:t>
      </w:r>
      <w:r w:rsidR="00F32D57">
        <w:rPr>
          <w:rFonts w:ascii="Calibri" w:hAnsi="Calibri" w:cs="Calibri"/>
          <w:sz w:val="22"/>
          <w:szCs w:val="22"/>
        </w:rPr>
        <w:t xml:space="preserve"> of an aggravated offense</w:t>
      </w:r>
      <w:r w:rsidR="00C12BA8">
        <w:rPr>
          <w:rFonts w:ascii="Calibri" w:hAnsi="Calibri" w:cs="Calibri"/>
          <w:sz w:val="22"/>
          <w:szCs w:val="22"/>
        </w:rPr>
        <w:t xml:space="preserve">. </w:t>
      </w:r>
      <w:r w:rsidR="00007B6C">
        <w:rPr>
          <w:rFonts w:ascii="Calibri" w:hAnsi="Calibri" w:cs="Calibri"/>
          <w:i/>
          <w:iCs/>
          <w:sz w:val="22"/>
          <w:szCs w:val="22"/>
        </w:rPr>
        <w:t xml:space="preserve">See </w:t>
      </w:r>
      <w:r w:rsidR="00D86F7F" w:rsidRPr="00007B6C">
        <w:rPr>
          <w:rFonts w:ascii="Calibri" w:hAnsi="Calibri" w:cs="Calibri"/>
          <w:sz w:val="22"/>
          <w:szCs w:val="22"/>
        </w:rPr>
        <w:t>State v. Clark, 211 N.C. App. 60 (2011)</w:t>
      </w:r>
      <w:r w:rsidR="00A4245E" w:rsidRPr="00007B6C">
        <w:rPr>
          <w:rFonts w:ascii="Calibri" w:hAnsi="Calibri" w:cs="Calibri"/>
          <w:sz w:val="22"/>
          <w:szCs w:val="22"/>
        </w:rPr>
        <w:t>; State v. Sprouse, 217 N.C. App. 230 (2011); State v.</w:t>
      </w:r>
      <w:r w:rsidR="00007B6C">
        <w:rPr>
          <w:rFonts w:ascii="Calibri" w:hAnsi="Calibri" w:cs="Calibri"/>
          <w:sz w:val="22"/>
          <w:szCs w:val="22"/>
        </w:rPr>
        <w:t xml:space="preserve"> </w:t>
      </w:r>
      <w:r w:rsidR="000F51D5">
        <w:rPr>
          <w:rFonts w:ascii="Calibri" w:hAnsi="Calibri" w:cs="Calibri"/>
          <w:sz w:val="22"/>
          <w:szCs w:val="22"/>
        </w:rPr>
        <w:t>McCravey, 203 N.C. App. 627 (2010)</w:t>
      </w:r>
      <w:r w:rsidR="000119A7">
        <w:rPr>
          <w:rFonts w:ascii="Calibri" w:hAnsi="Calibri" w:cs="Calibri"/>
          <w:sz w:val="22"/>
          <w:szCs w:val="22"/>
        </w:rPr>
        <w:t>.</w:t>
      </w:r>
      <w:r w:rsidR="00A4245E" w:rsidRPr="00007B6C">
        <w:rPr>
          <w:rFonts w:ascii="Calibri" w:hAnsi="Calibri" w:cs="Calibri"/>
          <w:sz w:val="22"/>
          <w:szCs w:val="22"/>
        </w:rPr>
        <w:t xml:space="preserve"> </w:t>
      </w:r>
      <w:r w:rsidR="00154C63">
        <w:rPr>
          <w:rFonts w:ascii="Calibri" w:hAnsi="Calibri" w:cs="Calibri"/>
          <w:sz w:val="22"/>
          <w:szCs w:val="22"/>
        </w:rPr>
        <w:t>Attempted crimes do</w:t>
      </w:r>
      <w:r w:rsidR="00F848C1">
        <w:rPr>
          <w:rFonts w:ascii="Calibri" w:hAnsi="Calibri" w:cs="Calibri"/>
          <w:sz w:val="22"/>
          <w:szCs w:val="22"/>
        </w:rPr>
        <w:t xml:space="preserve"> not </w:t>
      </w:r>
      <w:r w:rsidR="00154C63">
        <w:rPr>
          <w:rFonts w:ascii="Calibri" w:hAnsi="Calibri" w:cs="Calibri"/>
          <w:sz w:val="22"/>
          <w:szCs w:val="22"/>
        </w:rPr>
        <w:t>qualify as aggravated offens</w:t>
      </w:r>
      <w:r w:rsidR="00C476A3">
        <w:rPr>
          <w:rFonts w:ascii="Calibri" w:hAnsi="Calibri" w:cs="Calibri"/>
          <w:sz w:val="22"/>
          <w:szCs w:val="22"/>
        </w:rPr>
        <w:t>e</w:t>
      </w:r>
      <w:r w:rsidR="00154C63">
        <w:rPr>
          <w:rFonts w:ascii="Calibri" w:hAnsi="Calibri" w:cs="Calibri"/>
          <w:sz w:val="22"/>
          <w:szCs w:val="22"/>
        </w:rPr>
        <w:t xml:space="preserve">s. </w:t>
      </w:r>
      <w:r w:rsidR="00154C63">
        <w:rPr>
          <w:rFonts w:ascii="Calibri" w:hAnsi="Calibri" w:cs="Calibri"/>
          <w:i/>
          <w:iCs/>
          <w:sz w:val="22"/>
          <w:szCs w:val="22"/>
        </w:rPr>
        <w:t xml:space="preserve">See </w:t>
      </w:r>
      <w:r w:rsidR="00154C63" w:rsidRPr="00154C63">
        <w:rPr>
          <w:rFonts w:ascii="Calibri" w:hAnsi="Calibri" w:cs="Calibri"/>
          <w:sz w:val="22"/>
          <w:szCs w:val="22"/>
        </w:rPr>
        <w:t>State v.</w:t>
      </w:r>
      <w:r w:rsidR="00154C63">
        <w:rPr>
          <w:rFonts w:ascii="Calibri" w:hAnsi="Calibri" w:cs="Calibri"/>
          <w:sz w:val="22"/>
          <w:szCs w:val="22"/>
        </w:rPr>
        <w:t xml:space="preserve"> </w:t>
      </w:r>
      <w:r w:rsidR="00C476A3">
        <w:rPr>
          <w:rFonts w:ascii="Calibri" w:hAnsi="Calibri" w:cs="Calibri"/>
          <w:sz w:val="22"/>
          <w:szCs w:val="22"/>
        </w:rPr>
        <w:t>Barnett, 245 N.C. App. 101</w:t>
      </w:r>
      <w:r w:rsidR="001A0E88">
        <w:rPr>
          <w:rFonts w:ascii="Calibri" w:hAnsi="Calibri" w:cs="Calibri"/>
          <w:sz w:val="22"/>
          <w:szCs w:val="22"/>
        </w:rPr>
        <w:t xml:space="preserve">, </w:t>
      </w:r>
      <w:proofErr w:type="spellStart"/>
      <w:r w:rsidR="001A0E88">
        <w:rPr>
          <w:rFonts w:ascii="Calibri" w:hAnsi="Calibri" w:cs="Calibri"/>
          <w:i/>
          <w:iCs/>
          <w:sz w:val="22"/>
          <w:szCs w:val="22"/>
        </w:rPr>
        <w:t>rev’d</w:t>
      </w:r>
      <w:proofErr w:type="spellEnd"/>
      <w:r w:rsidR="001A0E88">
        <w:rPr>
          <w:rFonts w:ascii="Calibri" w:hAnsi="Calibri" w:cs="Calibri"/>
          <w:i/>
          <w:iCs/>
          <w:sz w:val="22"/>
          <w:szCs w:val="22"/>
        </w:rPr>
        <w:t xml:space="preserve"> in part on other grounds</w:t>
      </w:r>
      <w:r w:rsidR="001A0E88">
        <w:rPr>
          <w:rFonts w:ascii="Calibri" w:hAnsi="Calibri" w:cs="Calibri"/>
          <w:sz w:val="22"/>
          <w:szCs w:val="22"/>
        </w:rPr>
        <w:t>, 369 N.C. 298 (2016).</w:t>
      </w:r>
      <w:r w:rsidR="00120C24">
        <w:rPr>
          <w:rFonts w:ascii="Calibri" w:hAnsi="Calibri" w:cs="Calibri"/>
          <w:sz w:val="22"/>
          <w:szCs w:val="22"/>
        </w:rPr>
        <w:t xml:space="preserve"> S</w:t>
      </w:r>
      <w:r w:rsidR="000119A7">
        <w:rPr>
          <w:rFonts w:ascii="Calibri" w:hAnsi="Calibri" w:cs="Calibri"/>
          <w:sz w:val="22"/>
          <w:szCs w:val="22"/>
        </w:rPr>
        <w:t xml:space="preserve">exual offense is </w:t>
      </w:r>
      <w:r w:rsidR="00120C24">
        <w:rPr>
          <w:rFonts w:ascii="Calibri" w:hAnsi="Calibri" w:cs="Calibri"/>
          <w:sz w:val="22"/>
          <w:szCs w:val="22"/>
        </w:rPr>
        <w:t xml:space="preserve">never </w:t>
      </w:r>
      <w:r w:rsidR="000119A7">
        <w:rPr>
          <w:rFonts w:ascii="Calibri" w:hAnsi="Calibri" w:cs="Calibri"/>
          <w:sz w:val="22"/>
          <w:szCs w:val="22"/>
        </w:rPr>
        <w:t xml:space="preserve">an aggravated offense. </w:t>
      </w:r>
      <w:r w:rsidR="000119A7">
        <w:rPr>
          <w:rFonts w:ascii="Calibri" w:hAnsi="Calibri" w:cs="Calibri"/>
          <w:i/>
          <w:iCs/>
          <w:sz w:val="22"/>
          <w:szCs w:val="22"/>
        </w:rPr>
        <w:t xml:space="preserve">See </w:t>
      </w:r>
      <w:r w:rsidR="00252F7A">
        <w:rPr>
          <w:rFonts w:ascii="Calibri" w:hAnsi="Calibri" w:cs="Calibri"/>
          <w:i/>
          <w:iCs/>
          <w:sz w:val="22"/>
          <w:szCs w:val="22"/>
        </w:rPr>
        <w:t>Davison</w:t>
      </w:r>
      <w:r w:rsidR="00252F7A">
        <w:rPr>
          <w:rFonts w:ascii="Calibri" w:hAnsi="Calibri" w:cs="Calibri"/>
          <w:sz w:val="22"/>
          <w:szCs w:val="22"/>
        </w:rPr>
        <w:t>, 201 N.C. App.</w:t>
      </w:r>
      <w:r w:rsidR="007949EF">
        <w:rPr>
          <w:rFonts w:ascii="Calibri" w:hAnsi="Calibri" w:cs="Calibri"/>
          <w:sz w:val="22"/>
          <w:szCs w:val="22"/>
        </w:rPr>
        <w:t xml:space="preserve"> at 361.</w:t>
      </w:r>
      <w:r w:rsidR="00342625">
        <w:rPr>
          <w:rFonts w:ascii="Calibri" w:hAnsi="Calibri" w:cs="Calibri"/>
          <w:sz w:val="22"/>
          <w:szCs w:val="22"/>
        </w:rPr>
        <w:t xml:space="preserve"> </w:t>
      </w:r>
      <w:r w:rsidR="00C52603">
        <w:rPr>
          <w:rFonts w:ascii="Calibri" w:hAnsi="Calibri" w:cs="Calibri"/>
          <w:sz w:val="22"/>
          <w:szCs w:val="22"/>
        </w:rPr>
        <w:t xml:space="preserve">Indecent liberties is never an aggravated offense. State v. Singleton, 201 N.C. App. 620 (2010). Sexual battery is never aggravated. State v. Brooks, 204 N.C. App. 193 (2010). </w:t>
      </w:r>
      <w:r w:rsidR="00342625">
        <w:rPr>
          <w:rFonts w:ascii="Calibri" w:hAnsi="Calibri" w:cs="Calibri"/>
          <w:sz w:val="22"/>
          <w:szCs w:val="22"/>
        </w:rPr>
        <w:t xml:space="preserve">No offense committed before October 1, </w:t>
      </w:r>
      <w:proofErr w:type="gramStart"/>
      <w:r w:rsidR="00342625">
        <w:rPr>
          <w:rFonts w:ascii="Calibri" w:hAnsi="Calibri" w:cs="Calibri"/>
          <w:sz w:val="22"/>
          <w:szCs w:val="22"/>
        </w:rPr>
        <w:t>2001</w:t>
      </w:r>
      <w:proofErr w:type="gramEnd"/>
      <w:r w:rsidR="00342625">
        <w:rPr>
          <w:rFonts w:ascii="Calibri" w:hAnsi="Calibri" w:cs="Calibri"/>
          <w:sz w:val="22"/>
          <w:szCs w:val="22"/>
        </w:rPr>
        <w:t xml:space="preserve"> is an aggravated offense. State v. </w:t>
      </w:r>
      <w:r w:rsidR="00792B95">
        <w:rPr>
          <w:rFonts w:ascii="Calibri" w:hAnsi="Calibri" w:cs="Calibri"/>
          <w:sz w:val="22"/>
          <w:szCs w:val="22"/>
        </w:rPr>
        <w:t xml:space="preserve">Davis, </w:t>
      </w:r>
      <w:r w:rsidR="00237945">
        <w:rPr>
          <w:rFonts w:ascii="Calibri" w:hAnsi="Calibri" w:cs="Calibri"/>
          <w:sz w:val="22"/>
          <w:szCs w:val="22"/>
        </w:rPr>
        <w:t>237 N.C. App. 481 (2014).</w:t>
      </w:r>
    </w:p>
    <w:p w14:paraId="5BCB9F74" w14:textId="77777777" w:rsidR="0051446E" w:rsidRPr="00B901D7" w:rsidRDefault="0051446E" w:rsidP="00120C24">
      <w:pPr>
        <w:ind w:left="1080"/>
        <w:rPr>
          <w:rFonts w:ascii="Calibri" w:hAnsi="Calibri" w:cs="Calibri"/>
          <w:sz w:val="22"/>
          <w:szCs w:val="22"/>
        </w:rPr>
      </w:pPr>
    </w:p>
    <w:p w14:paraId="78579391" w14:textId="4E5A1B5B" w:rsidR="00814E86" w:rsidRPr="00595344" w:rsidRDefault="00595344" w:rsidP="00775D29">
      <w:pPr>
        <w:pStyle w:val="ListParagraph"/>
        <w:numPr>
          <w:ilvl w:val="0"/>
          <w:numId w:val="4"/>
        </w:numPr>
        <w:rPr>
          <w:sz w:val="26"/>
          <w:szCs w:val="22"/>
        </w:rPr>
      </w:pPr>
      <w:r w:rsidRPr="00595344">
        <w:rPr>
          <w:rFonts w:ascii="Calibri" w:hAnsi="Calibri" w:cs="Calibri"/>
          <w:b/>
          <w:bCs/>
          <w:sz w:val="22"/>
          <w:szCs w:val="22"/>
        </w:rPr>
        <w:t>Sexually Violent Predator</w:t>
      </w:r>
      <w:r w:rsidR="004255F8">
        <w:rPr>
          <w:rFonts w:ascii="Calibri" w:hAnsi="Calibri" w:cs="Calibri"/>
          <w:b/>
          <w:bCs/>
          <w:sz w:val="22"/>
          <w:szCs w:val="22"/>
        </w:rPr>
        <w:t xml:space="preserve"> </w:t>
      </w:r>
      <w:r w:rsidR="004255F8">
        <w:rPr>
          <w:rFonts w:ascii="Calibri" w:hAnsi="Calibri" w:cs="Calibri"/>
          <w:sz w:val="22"/>
          <w:szCs w:val="22"/>
        </w:rPr>
        <w:t>(G.S. 14-208.6(6).</w:t>
      </w:r>
      <w:r w:rsidRPr="00595344">
        <w:rPr>
          <w:rFonts w:ascii="Calibri" w:hAnsi="Calibri" w:cs="Calibri"/>
          <w:b/>
          <w:bCs/>
          <w:sz w:val="22"/>
          <w:szCs w:val="22"/>
        </w:rPr>
        <w:t xml:space="preserve"> </w:t>
      </w:r>
      <w:r w:rsidR="005E1030" w:rsidRPr="005E1030">
        <w:rPr>
          <w:rFonts w:ascii="Calibri" w:hAnsi="Calibri" w:cs="Calibri"/>
          <w:sz w:val="22"/>
          <w:szCs w:val="22"/>
        </w:rPr>
        <w:t xml:space="preserve">Offenders </w:t>
      </w:r>
      <w:r w:rsidR="00B84E89">
        <w:rPr>
          <w:rFonts w:ascii="Calibri" w:hAnsi="Calibri" w:cs="Calibri"/>
          <w:sz w:val="22"/>
          <w:szCs w:val="22"/>
        </w:rPr>
        <w:t>convict</w:t>
      </w:r>
      <w:r>
        <w:rPr>
          <w:rFonts w:ascii="Calibri" w:hAnsi="Calibri" w:cs="Calibri"/>
          <w:sz w:val="22"/>
          <w:szCs w:val="22"/>
        </w:rPr>
        <w:t>ed</w:t>
      </w:r>
      <w:r w:rsidR="00B84E89">
        <w:rPr>
          <w:rFonts w:ascii="Calibri" w:hAnsi="Calibri" w:cs="Calibri"/>
          <w:sz w:val="22"/>
          <w:szCs w:val="22"/>
        </w:rPr>
        <w:t xml:space="preserve"> of a sexually violent offense who are </w:t>
      </w:r>
      <w:r w:rsidR="005E1030" w:rsidRPr="005E1030">
        <w:rPr>
          <w:rFonts w:ascii="Calibri" w:hAnsi="Calibri" w:cs="Calibri"/>
          <w:sz w:val="22"/>
          <w:szCs w:val="22"/>
        </w:rPr>
        <w:t xml:space="preserve">classified as </w:t>
      </w:r>
      <w:r w:rsidR="00B84E89" w:rsidRPr="00595344">
        <w:rPr>
          <w:rFonts w:ascii="Calibri" w:hAnsi="Calibri" w:cs="Calibri"/>
          <w:sz w:val="22"/>
          <w:szCs w:val="22"/>
        </w:rPr>
        <w:t xml:space="preserve">a </w:t>
      </w:r>
      <w:r w:rsidR="005E1030" w:rsidRPr="00595344">
        <w:rPr>
          <w:rFonts w:ascii="Calibri" w:hAnsi="Calibri" w:cs="Calibri"/>
          <w:sz w:val="22"/>
          <w:szCs w:val="22"/>
        </w:rPr>
        <w:t>sexually violent predator through the procedure in G.S. 14-208.20</w:t>
      </w:r>
      <w:r w:rsidR="0051446E">
        <w:rPr>
          <w:rFonts w:ascii="Calibri" w:hAnsi="Calibri" w:cs="Calibri"/>
          <w:sz w:val="22"/>
          <w:szCs w:val="22"/>
        </w:rPr>
        <w:t xml:space="preserve"> </w:t>
      </w:r>
      <w:r w:rsidR="0051446E">
        <w:rPr>
          <w:rFonts w:ascii="Calibri" w:hAnsi="Calibri" w:cs="Calibri"/>
          <w:sz w:val="22"/>
          <w:szCs w:val="22"/>
        </w:rPr>
        <w:lastRenderedPageBreak/>
        <w:t>must register for life</w:t>
      </w:r>
      <w:r w:rsidR="00B84E89" w:rsidRPr="00595344">
        <w:rPr>
          <w:rFonts w:ascii="Calibri" w:hAnsi="Calibri" w:cs="Calibri"/>
          <w:sz w:val="22"/>
          <w:szCs w:val="22"/>
        </w:rPr>
        <w:t xml:space="preserve">. </w:t>
      </w:r>
      <w:r w:rsidR="00241C8E" w:rsidRPr="00595344">
        <w:rPr>
          <w:rFonts w:ascii="Calibri" w:hAnsi="Calibri" w:cs="Calibri"/>
          <w:sz w:val="22"/>
          <w:szCs w:val="22"/>
        </w:rPr>
        <w:t>There are currently fewer than 30 sexually violent predators in the state.</w:t>
      </w:r>
    </w:p>
    <w:p w14:paraId="5CB5FDFC" w14:textId="62552780" w:rsidR="005E1030" w:rsidRPr="00814E86" w:rsidRDefault="005E1030" w:rsidP="005E1030">
      <w:pPr>
        <w:rPr>
          <w:rFonts w:ascii="Calibri" w:hAnsi="Calibri" w:cs="Calibri"/>
          <w:b/>
          <w:bCs/>
          <w:sz w:val="26"/>
          <w:szCs w:val="22"/>
        </w:rPr>
      </w:pPr>
      <w:r w:rsidRPr="00814E86">
        <w:rPr>
          <w:rFonts w:ascii="Calibri" w:hAnsi="Calibri" w:cs="Calibri"/>
          <w:b/>
          <w:bCs/>
          <w:sz w:val="26"/>
          <w:szCs w:val="22"/>
        </w:rPr>
        <w:t>“Final Conviction”</w:t>
      </w:r>
    </w:p>
    <w:p w14:paraId="7F9D6F38" w14:textId="34B8D77A" w:rsidR="00E566A5" w:rsidRDefault="005E1030" w:rsidP="00241C8E">
      <w:pPr>
        <w:ind w:left="720"/>
        <w:rPr>
          <w:b/>
          <w:bCs/>
          <w:sz w:val="30"/>
          <w:szCs w:val="26"/>
        </w:rPr>
      </w:pPr>
      <w:r>
        <w:rPr>
          <w:rFonts w:ascii="Calibri" w:hAnsi="Calibri" w:cs="Calibri"/>
          <w:sz w:val="22"/>
          <w:szCs w:val="22"/>
        </w:rPr>
        <w:t>Registration is required when a defendant has a “final conviction.” G.S. 14-208.6(4). A prayer for judgment continued is not a final conviction within the meaning of that statute. Walters v. Cooper, 367 N.C. 117 (2013). However, a conviction on appeal to the appellate division requires registration. State v. Smith, 230 N.C. App. 387 (2013).</w:t>
      </w:r>
      <w:r w:rsidR="00E566A5">
        <w:rPr>
          <w:b/>
          <w:bCs/>
          <w:sz w:val="30"/>
          <w:szCs w:val="26"/>
        </w:rPr>
        <w:br w:type="page"/>
      </w:r>
    </w:p>
    <w:p w14:paraId="1576963D" w14:textId="249EEAAB" w:rsidR="00155656" w:rsidRDefault="00155656" w:rsidP="005E1030">
      <w:pPr>
        <w:rPr>
          <w:b/>
          <w:bCs/>
          <w:sz w:val="30"/>
          <w:szCs w:val="26"/>
        </w:rPr>
      </w:pPr>
      <w:r>
        <w:rPr>
          <w:b/>
          <w:bCs/>
          <w:sz w:val="30"/>
          <w:szCs w:val="26"/>
        </w:rPr>
        <w:lastRenderedPageBreak/>
        <w:t>Satellite-Based Monitoring (SBM)</w:t>
      </w:r>
    </w:p>
    <w:p w14:paraId="4EBD6927" w14:textId="0E8042AE" w:rsidR="00155656" w:rsidRDefault="00155656" w:rsidP="00295142">
      <w:pPr>
        <w:rPr>
          <w:rFonts w:ascii="Calibri" w:hAnsi="Calibri" w:cs="Calibri"/>
          <w:sz w:val="22"/>
          <w:szCs w:val="22"/>
        </w:rPr>
      </w:pPr>
      <w:r>
        <w:rPr>
          <w:rFonts w:ascii="Calibri" w:hAnsi="Calibri" w:cs="Calibri"/>
          <w:sz w:val="22"/>
          <w:szCs w:val="22"/>
        </w:rPr>
        <w:t>For any defendant convicted of a reportable conviction, the court must determine eligibility for satellite-based monitoring. G.S. 14-208.40A. SBM, when applicable, is either for life or for up to 50 years, depending on the eligibility criteria described below.</w:t>
      </w:r>
      <w:r w:rsidR="003335F4">
        <w:rPr>
          <w:rFonts w:ascii="Calibri" w:hAnsi="Calibri" w:cs="Calibri"/>
          <w:sz w:val="22"/>
          <w:szCs w:val="22"/>
        </w:rPr>
        <w:t xml:space="preserve"> </w:t>
      </w:r>
      <w:r w:rsidR="00F93C9C">
        <w:rPr>
          <w:rFonts w:ascii="Calibri" w:hAnsi="Calibri" w:cs="Calibri"/>
          <w:sz w:val="22"/>
          <w:szCs w:val="22"/>
        </w:rPr>
        <w:t>In general, hearings to determine SBM should be held during the sentencing phase</w:t>
      </w:r>
      <w:r w:rsidR="00BD08F8">
        <w:rPr>
          <w:rFonts w:ascii="Calibri" w:hAnsi="Calibri" w:cs="Calibri"/>
          <w:sz w:val="22"/>
          <w:szCs w:val="22"/>
        </w:rPr>
        <w:t xml:space="preserve">. If no determination was made at sentencing, a determination hearing can be held </w:t>
      </w:r>
      <w:r w:rsidR="0041299A">
        <w:rPr>
          <w:rFonts w:ascii="Calibri" w:hAnsi="Calibri" w:cs="Calibri"/>
          <w:sz w:val="22"/>
          <w:szCs w:val="22"/>
        </w:rPr>
        <w:t>in the county of residence</w:t>
      </w:r>
      <w:r w:rsidR="00AD7C44">
        <w:rPr>
          <w:rFonts w:ascii="Calibri" w:hAnsi="Calibri" w:cs="Calibri"/>
          <w:sz w:val="22"/>
          <w:szCs w:val="22"/>
        </w:rPr>
        <w:t xml:space="preserve"> under the procedures outlined in G.S. 14-208.40B.</w:t>
      </w:r>
    </w:p>
    <w:p w14:paraId="04E422AE" w14:textId="77777777" w:rsidR="00595472" w:rsidRDefault="00595472" w:rsidP="00155656">
      <w:pPr>
        <w:ind w:left="720"/>
        <w:rPr>
          <w:rFonts w:ascii="Calibri" w:hAnsi="Calibri" w:cs="Calibri"/>
          <w:sz w:val="22"/>
          <w:szCs w:val="22"/>
        </w:rPr>
      </w:pPr>
    </w:p>
    <w:p w14:paraId="5CC866E0" w14:textId="1B4CE1B7" w:rsidR="00595472" w:rsidRPr="000E6E21" w:rsidRDefault="000E6E21" w:rsidP="000E6E21">
      <w:pPr>
        <w:rPr>
          <w:rFonts w:ascii="Calibri" w:hAnsi="Calibri" w:cs="Calibri"/>
          <w:b/>
          <w:bCs/>
          <w:sz w:val="22"/>
          <w:szCs w:val="22"/>
        </w:rPr>
      </w:pPr>
      <w:r w:rsidRPr="000E6E21">
        <w:rPr>
          <w:rFonts w:ascii="Calibri" w:hAnsi="Calibri" w:cs="Calibri"/>
          <w:b/>
          <w:bCs/>
          <w:sz w:val="22"/>
          <w:szCs w:val="22"/>
        </w:rPr>
        <w:t xml:space="preserve">Step 1: </w:t>
      </w:r>
      <w:r w:rsidR="00595472" w:rsidRPr="000E6E21">
        <w:rPr>
          <w:rFonts w:ascii="Calibri" w:hAnsi="Calibri" w:cs="Calibri"/>
          <w:b/>
          <w:bCs/>
          <w:sz w:val="22"/>
          <w:szCs w:val="22"/>
        </w:rPr>
        <w:t>Is the defendant in an eligible category for SBM?</w:t>
      </w:r>
    </w:p>
    <w:p w14:paraId="517A1314" w14:textId="77777777" w:rsidR="00595472" w:rsidRDefault="00595472" w:rsidP="00595472">
      <w:pPr>
        <w:pStyle w:val="ListParagraph"/>
        <w:ind w:left="360"/>
        <w:rPr>
          <w:rFonts w:ascii="Calibri" w:hAnsi="Calibri" w:cs="Calibri"/>
          <w:sz w:val="22"/>
          <w:szCs w:val="22"/>
        </w:rPr>
      </w:pPr>
    </w:p>
    <w:p w14:paraId="155DEF83" w14:textId="7B411558" w:rsidR="00FC40EE" w:rsidRDefault="00FC40EE" w:rsidP="00FC40EE">
      <w:pPr>
        <w:pStyle w:val="ListParagraph"/>
        <w:numPr>
          <w:ilvl w:val="0"/>
          <w:numId w:val="6"/>
        </w:numPr>
        <w:rPr>
          <w:rFonts w:ascii="Calibri" w:hAnsi="Calibri" w:cs="Calibri"/>
          <w:sz w:val="22"/>
          <w:szCs w:val="22"/>
        </w:rPr>
      </w:pPr>
      <w:r w:rsidRPr="00E8207A">
        <w:rPr>
          <w:rFonts w:ascii="Calibri" w:hAnsi="Calibri" w:cs="Calibri"/>
          <w:b/>
          <w:bCs/>
          <w:sz w:val="22"/>
          <w:szCs w:val="22"/>
        </w:rPr>
        <w:t>LIFETIME SBM.</w:t>
      </w:r>
      <w:r>
        <w:rPr>
          <w:rFonts w:ascii="Calibri" w:hAnsi="Calibri" w:cs="Calibri"/>
          <w:sz w:val="22"/>
          <w:szCs w:val="22"/>
        </w:rPr>
        <w:t xml:space="preserve"> Defendants who fall in any of the following four categories are eligible for lifetime SBM, subject to the risk assessment and constitutional analysis described below.</w:t>
      </w:r>
      <w:r w:rsidR="00510359">
        <w:rPr>
          <w:rFonts w:ascii="Calibri" w:hAnsi="Calibri" w:cs="Calibri"/>
          <w:sz w:val="22"/>
          <w:szCs w:val="22"/>
        </w:rPr>
        <w:t xml:space="preserve"> Under current law, SBM is not automatic or man</w:t>
      </w:r>
      <w:r w:rsidR="00C03D36">
        <w:rPr>
          <w:rFonts w:ascii="Calibri" w:hAnsi="Calibri" w:cs="Calibri"/>
          <w:sz w:val="22"/>
          <w:szCs w:val="22"/>
        </w:rPr>
        <w:t>datory for any category.</w:t>
      </w:r>
      <w:r>
        <w:rPr>
          <w:rFonts w:ascii="Calibri" w:hAnsi="Calibri" w:cs="Calibri"/>
          <w:sz w:val="22"/>
          <w:szCs w:val="22"/>
        </w:rPr>
        <w:t xml:space="preserve"> </w:t>
      </w:r>
    </w:p>
    <w:p w14:paraId="5CDD8E80" w14:textId="77777777" w:rsidR="00182A76" w:rsidRPr="00182A76" w:rsidRDefault="00182A76" w:rsidP="00182A76">
      <w:pPr>
        <w:pStyle w:val="ListParagraph"/>
        <w:ind w:left="1080"/>
        <w:rPr>
          <w:rFonts w:ascii="Calibri" w:hAnsi="Calibri" w:cs="Calibri"/>
          <w:sz w:val="22"/>
          <w:szCs w:val="22"/>
        </w:rPr>
      </w:pPr>
    </w:p>
    <w:p w14:paraId="7C396A16" w14:textId="41A7C92D" w:rsidR="00182A76" w:rsidRDefault="00595472" w:rsidP="00182A76">
      <w:pPr>
        <w:pStyle w:val="ListParagraph"/>
        <w:numPr>
          <w:ilvl w:val="0"/>
          <w:numId w:val="4"/>
        </w:numPr>
        <w:rPr>
          <w:rFonts w:ascii="Calibri" w:hAnsi="Calibri" w:cs="Calibri"/>
          <w:sz w:val="22"/>
          <w:szCs w:val="22"/>
        </w:rPr>
      </w:pPr>
      <w:r w:rsidRPr="00182A76">
        <w:rPr>
          <w:rFonts w:ascii="Calibri" w:hAnsi="Calibri" w:cs="Calibri"/>
          <w:b/>
          <w:bCs/>
          <w:sz w:val="22"/>
          <w:szCs w:val="22"/>
        </w:rPr>
        <w:t>Sexually violent predator.</w:t>
      </w:r>
      <w:r w:rsidRPr="00182A76">
        <w:rPr>
          <w:rFonts w:ascii="Calibri" w:hAnsi="Calibri" w:cs="Calibri"/>
          <w:sz w:val="22"/>
          <w:szCs w:val="22"/>
        </w:rPr>
        <w:t xml:space="preserve"> Determined through the procedure in G.S. 14-208.20. This is relatively rare. There are currently </w:t>
      </w:r>
      <w:r w:rsidR="00241C8E" w:rsidRPr="00182A76">
        <w:rPr>
          <w:rFonts w:ascii="Calibri" w:hAnsi="Calibri" w:cs="Calibri"/>
          <w:sz w:val="22"/>
          <w:szCs w:val="22"/>
        </w:rPr>
        <w:t xml:space="preserve">fewer than 30 </w:t>
      </w:r>
      <w:r w:rsidRPr="00182A76">
        <w:rPr>
          <w:rFonts w:ascii="Calibri" w:hAnsi="Calibri" w:cs="Calibri"/>
          <w:sz w:val="22"/>
          <w:szCs w:val="22"/>
        </w:rPr>
        <w:t>sexually violent predators in the state.</w:t>
      </w:r>
    </w:p>
    <w:p w14:paraId="25C854FE" w14:textId="77777777" w:rsidR="00182A76" w:rsidRPr="00182A76" w:rsidRDefault="00182A76" w:rsidP="00182A76">
      <w:pPr>
        <w:pStyle w:val="ListParagraph"/>
        <w:ind w:left="1080"/>
        <w:rPr>
          <w:rFonts w:ascii="Calibri" w:hAnsi="Calibri" w:cs="Calibri"/>
          <w:sz w:val="22"/>
          <w:szCs w:val="22"/>
        </w:rPr>
      </w:pPr>
    </w:p>
    <w:p w14:paraId="0D095D99" w14:textId="00BFD0EA" w:rsidR="00D0026B" w:rsidRPr="00182A76" w:rsidRDefault="00595472" w:rsidP="00182A76">
      <w:pPr>
        <w:pStyle w:val="ListParagraph"/>
        <w:numPr>
          <w:ilvl w:val="0"/>
          <w:numId w:val="4"/>
        </w:numPr>
        <w:rPr>
          <w:rFonts w:ascii="Calibri" w:hAnsi="Calibri" w:cs="Calibri"/>
          <w:sz w:val="22"/>
          <w:szCs w:val="22"/>
        </w:rPr>
      </w:pPr>
      <w:r w:rsidRPr="00182A76">
        <w:rPr>
          <w:rFonts w:ascii="Calibri" w:hAnsi="Calibri" w:cs="Calibri"/>
          <w:b/>
          <w:bCs/>
          <w:sz w:val="22"/>
          <w:szCs w:val="22"/>
        </w:rPr>
        <w:t>Reoffenders. “</w:t>
      </w:r>
      <w:r w:rsidRPr="00182A76">
        <w:rPr>
          <w:rFonts w:ascii="Calibri" w:hAnsi="Calibri" w:cs="Calibri"/>
          <w:sz w:val="22"/>
          <w:szCs w:val="22"/>
        </w:rPr>
        <w:t xml:space="preserve">Reoffender” is defined as a defendant with two or more convictions for a </w:t>
      </w:r>
      <w:r w:rsidRPr="00182A76">
        <w:rPr>
          <w:rFonts w:ascii="Calibri" w:hAnsi="Calibri" w:cs="Calibri"/>
          <w:i/>
          <w:iCs/>
          <w:sz w:val="22"/>
          <w:szCs w:val="22"/>
        </w:rPr>
        <w:t>felony</w:t>
      </w:r>
      <w:r w:rsidRPr="00182A76">
        <w:rPr>
          <w:rFonts w:ascii="Calibri" w:hAnsi="Calibri" w:cs="Calibri"/>
          <w:sz w:val="22"/>
          <w:szCs w:val="22"/>
        </w:rPr>
        <w:t xml:space="preserve"> described in G.S. 14-208.6(4). </w:t>
      </w:r>
      <w:r w:rsidR="002E0A55" w:rsidRPr="00182A76">
        <w:rPr>
          <w:rFonts w:ascii="Calibri" w:hAnsi="Calibri" w:cs="Calibri"/>
          <w:sz w:val="22"/>
          <w:szCs w:val="22"/>
        </w:rPr>
        <w:t>(</w:t>
      </w:r>
      <w:r w:rsidRPr="00182A76">
        <w:rPr>
          <w:rFonts w:ascii="Calibri" w:hAnsi="Calibri" w:cs="Calibri"/>
          <w:sz w:val="22"/>
          <w:szCs w:val="22"/>
        </w:rPr>
        <w:t xml:space="preserve">Previously, this </w:t>
      </w:r>
      <w:r w:rsidR="00985F2E" w:rsidRPr="00182A76">
        <w:rPr>
          <w:rFonts w:ascii="Calibri" w:hAnsi="Calibri" w:cs="Calibri"/>
          <w:sz w:val="22"/>
          <w:szCs w:val="22"/>
        </w:rPr>
        <w:t xml:space="preserve">criterion </w:t>
      </w:r>
      <w:r w:rsidRPr="00182A76">
        <w:rPr>
          <w:rFonts w:ascii="Calibri" w:hAnsi="Calibri" w:cs="Calibri"/>
          <w:sz w:val="22"/>
          <w:szCs w:val="22"/>
        </w:rPr>
        <w:t xml:space="preserve">referred to “recidivists,” which included repeat misdemeanor offenders, but lifetime SBM for recidivists was deemed unconstitutional in State v. Grady, </w:t>
      </w:r>
      <w:r w:rsidR="000F5EC4" w:rsidRPr="00182A76">
        <w:rPr>
          <w:rFonts w:ascii="Calibri" w:hAnsi="Calibri" w:cs="Calibri"/>
          <w:sz w:val="22"/>
          <w:szCs w:val="22"/>
        </w:rPr>
        <w:t>372 N.C. 509 (2019).</w:t>
      </w:r>
      <w:r w:rsidR="002E0A55" w:rsidRPr="00182A76">
        <w:rPr>
          <w:rFonts w:ascii="Calibri" w:hAnsi="Calibri" w:cs="Calibri"/>
          <w:sz w:val="22"/>
          <w:szCs w:val="22"/>
        </w:rPr>
        <w:t>)</w:t>
      </w:r>
      <w:r w:rsidR="000F5EC4" w:rsidRPr="00182A76">
        <w:rPr>
          <w:rFonts w:ascii="Calibri" w:hAnsi="Calibri" w:cs="Calibri"/>
          <w:sz w:val="22"/>
          <w:szCs w:val="22"/>
        </w:rPr>
        <w:t xml:space="preserve"> </w:t>
      </w:r>
      <w:r w:rsidR="0044176D" w:rsidRPr="00182A76">
        <w:rPr>
          <w:rFonts w:ascii="Calibri" w:hAnsi="Calibri" w:cs="Calibri"/>
          <w:sz w:val="22"/>
          <w:szCs w:val="22"/>
        </w:rPr>
        <w:t xml:space="preserve">The following </w:t>
      </w:r>
      <w:r w:rsidR="002E0A55" w:rsidRPr="00182A76">
        <w:rPr>
          <w:rFonts w:ascii="Calibri" w:hAnsi="Calibri" w:cs="Calibri"/>
          <w:sz w:val="22"/>
          <w:szCs w:val="22"/>
        </w:rPr>
        <w:t>felony offenses qualify a person as a lifetime SBM reoffender</w:t>
      </w:r>
      <w:r w:rsidR="0044176D" w:rsidRPr="00182A76">
        <w:rPr>
          <w:rFonts w:ascii="Calibri" w:hAnsi="Calibri" w:cs="Calibri"/>
          <w:sz w:val="22"/>
          <w:szCs w:val="22"/>
        </w:rPr>
        <w:t xml:space="preserve"> </w:t>
      </w:r>
      <w:r w:rsidR="003F3AAD" w:rsidRPr="00182A76">
        <w:rPr>
          <w:rFonts w:ascii="Calibri" w:hAnsi="Calibri" w:cs="Calibri"/>
          <w:sz w:val="22"/>
          <w:szCs w:val="22"/>
        </w:rPr>
        <w:t xml:space="preserve">when a person has </w:t>
      </w:r>
      <w:r w:rsidR="00AA0EDF" w:rsidRPr="00182A76">
        <w:rPr>
          <w:rFonts w:ascii="Calibri" w:hAnsi="Calibri" w:cs="Calibri"/>
          <w:sz w:val="22"/>
          <w:szCs w:val="22"/>
        </w:rPr>
        <w:t xml:space="preserve">two or more </w:t>
      </w:r>
      <w:r w:rsidR="00020840" w:rsidRPr="00182A76">
        <w:rPr>
          <w:rFonts w:ascii="Calibri" w:hAnsi="Calibri" w:cs="Calibri"/>
          <w:sz w:val="22"/>
          <w:szCs w:val="22"/>
        </w:rPr>
        <w:t>conviction</w:t>
      </w:r>
      <w:r w:rsidR="00AA0EDF" w:rsidRPr="00182A76">
        <w:rPr>
          <w:rFonts w:ascii="Calibri" w:hAnsi="Calibri" w:cs="Calibri"/>
          <w:sz w:val="22"/>
          <w:szCs w:val="22"/>
        </w:rPr>
        <w:t>s</w:t>
      </w:r>
      <w:r w:rsidR="00020840" w:rsidRPr="00182A76">
        <w:rPr>
          <w:rFonts w:ascii="Calibri" w:hAnsi="Calibri" w:cs="Calibri"/>
          <w:sz w:val="22"/>
          <w:szCs w:val="22"/>
        </w:rPr>
        <w:t xml:space="preserve"> </w:t>
      </w:r>
      <w:r w:rsidR="001E2461">
        <w:rPr>
          <w:rFonts w:ascii="Calibri" w:hAnsi="Calibri" w:cs="Calibri"/>
          <w:sz w:val="22"/>
          <w:szCs w:val="22"/>
        </w:rPr>
        <w:t xml:space="preserve">for crimes on this list </w:t>
      </w:r>
      <w:r w:rsidR="003F3AAD" w:rsidRPr="00182A76">
        <w:rPr>
          <w:rFonts w:ascii="Calibri" w:hAnsi="Calibri" w:cs="Calibri"/>
          <w:sz w:val="22"/>
          <w:szCs w:val="22"/>
        </w:rPr>
        <w:t xml:space="preserve">from </w:t>
      </w:r>
      <w:r w:rsidR="00AA0EDF" w:rsidRPr="00182A76">
        <w:rPr>
          <w:rFonts w:ascii="Calibri" w:hAnsi="Calibri" w:cs="Calibri"/>
          <w:sz w:val="22"/>
          <w:szCs w:val="22"/>
        </w:rPr>
        <w:t xml:space="preserve">different </w:t>
      </w:r>
      <w:r w:rsidR="00426A26" w:rsidRPr="00182A76">
        <w:rPr>
          <w:rFonts w:ascii="Calibri" w:hAnsi="Calibri" w:cs="Calibri"/>
          <w:sz w:val="22"/>
          <w:szCs w:val="22"/>
        </w:rPr>
        <w:t>sessions of court:</w:t>
      </w:r>
    </w:p>
    <w:p w14:paraId="62A5CEDA" w14:textId="77777777"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First-degree forcible rape, G.S. 14-27.21</w:t>
      </w:r>
    </w:p>
    <w:p w14:paraId="050F4607" w14:textId="7F973FA4"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Second-degree forcible rape, G.S. 14-</w:t>
      </w:r>
      <w:r w:rsidR="00D51DCD">
        <w:rPr>
          <w:rFonts w:ascii="Calibri" w:hAnsi="Calibri" w:cs="Calibri"/>
          <w:sz w:val="22"/>
          <w:szCs w:val="22"/>
        </w:rPr>
        <w:t>2</w:t>
      </w:r>
      <w:r w:rsidRPr="00D0026B">
        <w:rPr>
          <w:rFonts w:ascii="Calibri" w:hAnsi="Calibri" w:cs="Calibri"/>
          <w:sz w:val="22"/>
          <w:szCs w:val="22"/>
        </w:rPr>
        <w:t>7.22</w:t>
      </w:r>
    </w:p>
    <w:p w14:paraId="09961FB6" w14:textId="77777777"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Statutory rape of a child by an adult, G.S. 14-27.23</w:t>
      </w:r>
    </w:p>
    <w:p w14:paraId="02CB2BAD" w14:textId="54F67B4E" w:rsidR="00E87E57" w:rsidRPr="00E87E57" w:rsidRDefault="00E87E57" w:rsidP="00D0026B">
      <w:pPr>
        <w:pStyle w:val="ListParagraph"/>
        <w:numPr>
          <w:ilvl w:val="1"/>
          <w:numId w:val="4"/>
        </w:numPr>
        <w:rPr>
          <w:rFonts w:ascii="Calibri" w:hAnsi="Calibri" w:cs="Calibri"/>
          <w:sz w:val="22"/>
          <w:szCs w:val="22"/>
        </w:rPr>
      </w:pPr>
      <w:r w:rsidRPr="00E87E57">
        <w:rPr>
          <w:rFonts w:ascii="Calibri" w:hAnsi="Calibri" w:cs="Calibri"/>
          <w:sz w:val="22"/>
          <w:szCs w:val="22"/>
        </w:rPr>
        <w:t>First-</w:t>
      </w:r>
      <w:r>
        <w:rPr>
          <w:rFonts w:ascii="Calibri" w:hAnsi="Calibri" w:cs="Calibri"/>
          <w:sz w:val="22"/>
          <w:szCs w:val="22"/>
        </w:rPr>
        <w:t>degree statutory rape, G.S. 14-27.24</w:t>
      </w:r>
    </w:p>
    <w:p w14:paraId="53A072D5" w14:textId="598B407A"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 xml:space="preserve">Statutory rape of a child under 15 by </w:t>
      </w:r>
      <w:r w:rsidR="003605C1">
        <w:rPr>
          <w:rFonts w:ascii="Calibri" w:hAnsi="Calibri" w:cs="Calibri"/>
          <w:sz w:val="22"/>
          <w:szCs w:val="22"/>
        </w:rPr>
        <w:t xml:space="preserve">a defendant </w:t>
      </w:r>
      <w:r w:rsidRPr="00D0026B">
        <w:rPr>
          <w:rFonts w:ascii="Calibri" w:hAnsi="Calibri" w:cs="Calibri"/>
          <w:sz w:val="22"/>
          <w:szCs w:val="22"/>
        </w:rPr>
        <w:t>more than 6 years older than the</w:t>
      </w:r>
      <w:r w:rsidR="00D0026B">
        <w:rPr>
          <w:rFonts w:ascii="Calibri" w:hAnsi="Calibri" w:cs="Calibri"/>
          <w:sz w:val="22"/>
          <w:szCs w:val="22"/>
        </w:rPr>
        <w:t xml:space="preserve"> </w:t>
      </w:r>
      <w:r w:rsidRPr="00D0026B">
        <w:rPr>
          <w:rFonts w:ascii="Calibri" w:hAnsi="Calibri" w:cs="Calibri"/>
          <w:sz w:val="22"/>
          <w:szCs w:val="22"/>
        </w:rPr>
        <w:t>victim, G.S. 14-27.</w:t>
      </w:r>
      <w:r w:rsidR="00E87E57">
        <w:rPr>
          <w:rFonts w:ascii="Calibri" w:hAnsi="Calibri" w:cs="Calibri"/>
          <w:sz w:val="22"/>
          <w:szCs w:val="22"/>
        </w:rPr>
        <w:t>25</w:t>
      </w:r>
      <w:r w:rsidR="00302566">
        <w:rPr>
          <w:rFonts w:ascii="Calibri" w:hAnsi="Calibri" w:cs="Calibri"/>
          <w:sz w:val="22"/>
          <w:szCs w:val="22"/>
        </w:rPr>
        <w:t>(a)</w:t>
      </w:r>
    </w:p>
    <w:p w14:paraId="40A386B7" w14:textId="68F02F9A"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 xml:space="preserve">First-degree </w:t>
      </w:r>
      <w:r w:rsidR="00D0026B">
        <w:rPr>
          <w:rFonts w:ascii="Calibri" w:hAnsi="Calibri" w:cs="Calibri"/>
          <w:sz w:val="22"/>
          <w:szCs w:val="22"/>
        </w:rPr>
        <w:t xml:space="preserve">forcible </w:t>
      </w:r>
      <w:r w:rsidRPr="00D0026B">
        <w:rPr>
          <w:rFonts w:ascii="Calibri" w:hAnsi="Calibri" w:cs="Calibri"/>
          <w:sz w:val="22"/>
          <w:szCs w:val="22"/>
        </w:rPr>
        <w:t>sexual offense, G.S. 14-27.26</w:t>
      </w:r>
    </w:p>
    <w:p w14:paraId="0C1945F7" w14:textId="77777777"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 xml:space="preserve">Second-degree </w:t>
      </w:r>
      <w:r w:rsidR="00D0026B">
        <w:rPr>
          <w:rFonts w:ascii="Calibri" w:hAnsi="Calibri" w:cs="Calibri"/>
          <w:sz w:val="22"/>
          <w:szCs w:val="22"/>
        </w:rPr>
        <w:t xml:space="preserve">forcible </w:t>
      </w:r>
      <w:r w:rsidRPr="00D0026B">
        <w:rPr>
          <w:rFonts w:ascii="Calibri" w:hAnsi="Calibri" w:cs="Calibri"/>
          <w:sz w:val="22"/>
          <w:szCs w:val="22"/>
        </w:rPr>
        <w:t>sexual offense, G.S. 14-27.27</w:t>
      </w:r>
    </w:p>
    <w:p w14:paraId="1F0D05CF" w14:textId="77777777"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Statutory sexual offense of a child by an adult, G.S. 14-27.28</w:t>
      </w:r>
    </w:p>
    <w:p w14:paraId="08739441" w14:textId="77777777" w:rsidR="00D0026B"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First-degree statutory sexual offense, G.S. 14-27.29</w:t>
      </w:r>
    </w:p>
    <w:p w14:paraId="7309718B" w14:textId="54D987C9" w:rsidR="002E0A55" w:rsidRPr="00D0026B" w:rsidRDefault="002E0A55" w:rsidP="00D0026B">
      <w:pPr>
        <w:pStyle w:val="ListParagraph"/>
        <w:numPr>
          <w:ilvl w:val="1"/>
          <w:numId w:val="4"/>
        </w:numPr>
        <w:rPr>
          <w:rFonts w:ascii="Calibri" w:hAnsi="Calibri" w:cs="Calibri"/>
          <w:b/>
          <w:bCs/>
          <w:sz w:val="22"/>
          <w:szCs w:val="22"/>
        </w:rPr>
      </w:pPr>
      <w:r w:rsidRPr="00D0026B">
        <w:rPr>
          <w:rFonts w:ascii="Calibri" w:hAnsi="Calibri" w:cs="Calibri"/>
          <w:sz w:val="22"/>
          <w:szCs w:val="22"/>
        </w:rPr>
        <w:t xml:space="preserve">Statutory sexual offense against a child under 15 by </w:t>
      </w:r>
      <w:r w:rsidR="003605C1">
        <w:rPr>
          <w:rFonts w:ascii="Calibri" w:hAnsi="Calibri" w:cs="Calibri"/>
          <w:sz w:val="22"/>
          <w:szCs w:val="22"/>
        </w:rPr>
        <w:t xml:space="preserve">a defendant </w:t>
      </w:r>
      <w:r w:rsidRPr="00D0026B">
        <w:rPr>
          <w:rFonts w:ascii="Calibri" w:hAnsi="Calibri" w:cs="Calibri"/>
          <w:sz w:val="22"/>
          <w:szCs w:val="22"/>
        </w:rPr>
        <w:t>more than 6 years older than the victim, G.S. 14-27.30(a)</w:t>
      </w:r>
    </w:p>
    <w:p w14:paraId="4C55DE67" w14:textId="77777777" w:rsidR="002E0A55" w:rsidRPr="002E0A55" w:rsidRDefault="002E0A55" w:rsidP="00302566">
      <w:pPr>
        <w:pStyle w:val="ListParagraph"/>
        <w:numPr>
          <w:ilvl w:val="1"/>
          <w:numId w:val="4"/>
        </w:numPr>
        <w:rPr>
          <w:rFonts w:ascii="Calibri" w:hAnsi="Calibri" w:cs="Calibri"/>
          <w:sz w:val="22"/>
          <w:szCs w:val="22"/>
        </w:rPr>
      </w:pPr>
      <w:r w:rsidRPr="002E0A55">
        <w:rPr>
          <w:rFonts w:ascii="Calibri" w:hAnsi="Calibri" w:cs="Calibri"/>
          <w:sz w:val="22"/>
          <w:szCs w:val="22"/>
        </w:rPr>
        <w:t>Human Trafficking, G.S. 14-43.11</w:t>
      </w:r>
    </w:p>
    <w:p w14:paraId="1541E778"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t>Sexual Servitude, G.S. 14-43.13</w:t>
      </w:r>
    </w:p>
    <w:p w14:paraId="1C59961A"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t>Incest against a child under 13 by one who is at least 12 and at least four years older than the victim, incest against a child who is 13, 14, or 15 by one at least 6 years older than the victim, and incest against a child who is 13, 14, or 15 by one more than 4 but less than 6 years older than the victim, G.S. 14-178(b)(1) &amp; (2)</w:t>
      </w:r>
    </w:p>
    <w:p w14:paraId="33E01D11"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t>First-degree child exploitation, G.S. 14-190.16</w:t>
      </w:r>
    </w:p>
    <w:p w14:paraId="37C7E2CD"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lastRenderedPageBreak/>
        <w:t>Patronizing a prostitute with a severe or profound mental disability, G.S. 14-205.2(d)</w:t>
      </w:r>
    </w:p>
    <w:p w14:paraId="0A54B335"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t>Promoting prostitution of a minor or of any person with a severe or profound mental disability, G.S. 14-205.3(b)</w:t>
      </w:r>
    </w:p>
    <w:p w14:paraId="6E6BBED5" w14:textId="77777777" w:rsidR="002E0A55" w:rsidRPr="002E0A55" w:rsidRDefault="002E0A55" w:rsidP="002F65FB">
      <w:pPr>
        <w:pStyle w:val="ListParagraph"/>
        <w:numPr>
          <w:ilvl w:val="1"/>
          <w:numId w:val="4"/>
        </w:numPr>
        <w:rPr>
          <w:rFonts w:ascii="Calibri" w:hAnsi="Calibri" w:cs="Calibri"/>
          <w:sz w:val="22"/>
          <w:szCs w:val="22"/>
        </w:rPr>
      </w:pPr>
      <w:r w:rsidRPr="002E0A55">
        <w:rPr>
          <w:rFonts w:ascii="Calibri" w:hAnsi="Calibri" w:cs="Calibri"/>
          <w:sz w:val="22"/>
          <w:szCs w:val="22"/>
        </w:rPr>
        <w:t>Child abuse by permitting, encouraging, or committing any act of prostitution by or with the child, G.S. 14-318.4(a1).</w:t>
      </w:r>
    </w:p>
    <w:p w14:paraId="530D60B7" w14:textId="1DC15F25" w:rsidR="00457888" w:rsidRPr="00457888" w:rsidRDefault="002E0A55" w:rsidP="00457888">
      <w:pPr>
        <w:pStyle w:val="ListParagraph"/>
        <w:numPr>
          <w:ilvl w:val="1"/>
          <w:numId w:val="4"/>
        </w:numPr>
        <w:rPr>
          <w:rFonts w:ascii="Calibri" w:hAnsi="Calibri" w:cs="Calibri"/>
          <w:sz w:val="22"/>
          <w:szCs w:val="22"/>
        </w:rPr>
      </w:pPr>
      <w:r w:rsidRPr="002E0A55">
        <w:rPr>
          <w:rFonts w:ascii="Calibri" w:hAnsi="Calibri" w:cs="Calibri"/>
          <w:sz w:val="22"/>
          <w:szCs w:val="22"/>
        </w:rPr>
        <w:t>Child abuse by committing or permitting the commission of sexual acts upon a child, G.S. 14-318.4(a2).</w:t>
      </w:r>
    </w:p>
    <w:p w14:paraId="2F4D9AD9" w14:textId="77777777" w:rsidR="004862F0" w:rsidRPr="002E0A55" w:rsidRDefault="004862F0" w:rsidP="004862F0">
      <w:pPr>
        <w:pStyle w:val="ListParagraph"/>
        <w:ind w:left="1800"/>
        <w:rPr>
          <w:rFonts w:ascii="Calibri" w:hAnsi="Calibri" w:cs="Calibri"/>
          <w:sz w:val="22"/>
          <w:szCs w:val="22"/>
        </w:rPr>
      </w:pPr>
    </w:p>
    <w:p w14:paraId="51C981C9" w14:textId="47018B63" w:rsidR="002E0A55" w:rsidRPr="00AA0EDF" w:rsidRDefault="00AA0EDF" w:rsidP="00595472">
      <w:pPr>
        <w:pStyle w:val="ListParagraph"/>
        <w:numPr>
          <w:ilvl w:val="0"/>
          <w:numId w:val="4"/>
        </w:numPr>
        <w:rPr>
          <w:rFonts w:ascii="Calibri" w:hAnsi="Calibri" w:cs="Calibri"/>
          <w:b/>
          <w:bCs/>
          <w:sz w:val="22"/>
          <w:szCs w:val="22"/>
        </w:rPr>
      </w:pPr>
      <w:r>
        <w:rPr>
          <w:rFonts w:ascii="Calibri" w:hAnsi="Calibri" w:cs="Calibri"/>
          <w:b/>
          <w:bCs/>
          <w:sz w:val="22"/>
          <w:szCs w:val="22"/>
        </w:rPr>
        <w:t xml:space="preserve">Aggravated offenses. </w:t>
      </w:r>
      <w:r>
        <w:rPr>
          <w:rFonts w:ascii="Calibri" w:hAnsi="Calibri" w:cs="Calibri"/>
          <w:sz w:val="22"/>
          <w:szCs w:val="22"/>
        </w:rPr>
        <w:t>The same definition of aggravated offense applies for lifetime SBM as for lifetime registration</w:t>
      </w:r>
      <w:r w:rsidR="000A26E6">
        <w:rPr>
          <w:rFonts w:ascii="Calibri" w:hAnsi="Calibri" w:cs="Calibri"/>
          <w:sz w:val="22"/>
          <w:szCs w:val="22"/>
        </w:rPr>
        <w:t>, discussed above</w:t>
      </w:r>
      <w:r w:rsidR="001E2461">
        <w:rPr>
          <w:rFonts w:ascii="Calibri" w:hAnsi="Calibri" w:cs="Calibri"/>
          <w:sz w:val="22"/>
          <w:szCs w:val="22"/>
        </w:rPr>
        <w:t xml:space="preserve"> in the context of registration.</w:t>
      </w:r>
    </w:p>
    <w:p w14:paraId="61411EF2" w14:textId="77777777" w:rsidR="00AA0EDF" w:rsidRPr="005E1030" w:rsidRDefault="00AA0EDF" w:rsidP="00AA0EDF">
      <w:pPr>
        <w:pStyle w:val="ListParagraph"/>
        <w:numPr>
          <w:ilvl w:val="1"/>
          <w:numId w:val="4"/>
        </w:numPr>
        <w:rPr>
          <w:rFonts w:ascii="Calibri" w:hAnsi="Calibri" w:cs="Calibri"/>
          <w:sz w:val="22"/>
          <w:szCs w:val="22"/>
        </w:rPr>
      </w:pPr>
      <w:r w:rsidRPr="005E1030">
        <w:rPr>
          <w:rFonts w:ascii="Calibri" w:hAnsi="Calibri" w:cs="Calibri"/>
          <w:sz w:val="22"/>
          <w:szCs w:val="22"/>
        </w:rPr>
        <w:t xml:space="preserve">Engaging in a sexual act involving vaginal, anal, or oral penetration with a victim of any age </w:t>
      </w:r>
      <w:proofErr w:type="gramStart"/>
      <w:r w:rsidRPr="005E1030">
        <w:rPr>
          <w:rFonts w:ascii="Calibri" w:hAnsi="Calibri" w:cs="Calibri"/>
          <w:sz w:val="22"/>
          <w:szCs w:val="22"/>
        </w:rPr>
        <w:t>through the use of</w:t>
      </w:r>
      <w:proofErr w:type="gramEnd"/>
      <w:r w:rsidRPr="005E1030">
        <w:rPr>
          <w:rFonts w:ascii="Calibri" w:hAnsi="Calibri" w:cs="Calibri"/>
          <w:sz w:val="22"/>
          <w:szCs w:val="22"/>
        </w:rPr>
        <w:t xml:space="preserve"> force or the threat of serious violence; or </w:t>
      </w:r>
    </w:p>
    <w:p w14:paraId="1A4D1C1B" w14:textId="77777777" w:rsidR="00AA0EDF" w:rsidRDefault="00AA0EDF" w:rsidP="00AA0EDF">
      <w:pPr>
        <w:pStyle w:val="ListParagraph"/>
        <w:numPr>
          <w:ilvl w:val="1"/>
          <w:numId w:val="4"/>
        </w:numPr>
        <w:rPr>
          <w:rFonts w:ascii="Calibri" w:hAnsi="Calibri" w:cs="Calibri"/>
          <w:sz w:val="22"/>
          <w:szCs w:val="22"/>
        </w:rPr>
      </w:pPr>
      <w:r w:rsidRPr="005E1030">
        <w:rPr>
          <w:rFonts w:ascii="Calibri" w:hAnsi="Calibri" w:cs="Calibri"/>
          <w:sz w:val="22"/>
          <w:szCs w:val="22"/>
        </w:rPr>
        <w:t>Engaging in a sexual act involving vaginal, anal, or oral penetration with a victim who is less than 12 years old.</w:t>
      </w:r>
    </w:p>
    <w:p w14:paraId="5FC6E0B1" w14:textId="77777777" w:rsidR="00C964BF" w:rsidRDefault="00C964BF" w:rsidP="00C964BF">
      <w:pPr>
        <w:pStyle w:val="ListParagraph"/>
        <w:ind w:left="1800"/>
        <w:rPr>
          <w:rFonts w:ascii="Calibri" w:hAnsi="Calibri" w:cs="Calibri"/>
          <w:sz w:val="22"/>
          <w:szCs w:val="22"/>
        </w:rPr>
      </w:pPr>
    </w:p>
    <w:p w14:paraId="22716652" w14:textId="260C45A9" w:rsidR="00D12C8F" w:rsidRDefault="00D12C8F" w:rsidP="00D12C8F">
      <w:pPr>
        <w:pStyle w:val="ListParagraph"/>
        <w:numPr>
          <w:ilvl w:val="0"/>
          <w:numId w:val="4"/>
        </w:numPr>
        <w:rPr>
          <w:rFonts w:ascii="Calibri" w:hAnsi="Calibri" w:cs="Calibri"/>
          <w:sz w:val="22"/>
          <w:szCs w:val="22"/>
        </w:rPr>
      </w:pPr>
      <w:r>
        <w:rPr>
          <w:rFonts w:ascii="Calibri" w:hAnsi="Calibri" w:cs="Calibri"/>
          <w:b/>
          <w:bCs/>
          <w:sz w:val="22"/>
          <w:szCs w:val="22"/>
        </w:rPr>
        <w:t>Convicted of statutory rape of a child by an adult (</w:t>
      </w:r>
      <w:r w:rsidR="00E95697">
        <w:rPr>
          <w:rFonts w:ascii="Calibri" w:hAnsi="Calibri" w:cs="Calibri"/>
          <w:b/>
          <w:bCs/>
          <w:sz w:val="22"/>
          <w:szCs w:val="22"/>
        </w:rPr>
        <w:t xml:space="preserve">G.S. 14-27.23) or statutory sexual offense with a child by an adult (G.S. 14-27.28). </w:t>
      </w:r>
      <w:r w:rsidR="00E95697">
        <w:rPr>
          <w:rFonts w:ascii="Calibri" w:hAnsi="Calibri" w:cs="Calibri"/>
          <w:sz w:val="22"/>
          <w:szCs w:val="22"/>
        </w:rPr>
        <w:t>These specific offenses require satellite-based monitoring for life</w:t>
      </w:r>
      <w:r w:rsidR="007B1902">
        <w:rPr>
          <w:rFonts w:ascii="Calibri" w:hAnsi="Calibri" w:cs="Calibri"/>
          <w:sz w:val="22"/>
          <w:szCs w:val="22"/>
        </w:rPr>
        <w:t>, subject to the risk assessment and constitutional analysis described below.</w:t>
      </w:r>
    </w:p>
    <w:p w14:paraId="0C5FCC90" w14:textId="77777777" w:rsidR="00B96DE3" w:rsidRPr="00107B47" w:rsidRDefault="00B96DE3" w:rsidP="00B96DE3">
      <w:pPr>
        <w:pStyle w:val="ListParagraph"/>
        <w:ind w:left="1080"/>
        <w:rPr>
          <w:rFonts w:ascii="Calibri" w:hAnsi="Calibri" w:cs="Calibri"/>
          <w:sz w:val="22"/>
          <w:szCs w:val="22"/>
        </w:rPr>
      </w:pPr>
    </w:p>
    <w:p w14:paraId="34913050" w14:textId="5B3B0344" w:rsidR="00B96DE3" w:rsidRPr="00E8207A" w:rsidRDefault="00182B6A" w:rsidP="00E8207A">
      <w:pPr>
        <w:pStyle w:val="ListParagraph"/>
        <w:numPr>
          <w:ilvl w:val="0"/>
          <w:numId w:val="6"/>
        </w:numPr>
        <w:rPr>
          <w:rFonts w:ascii="Calibri" w:hAnsi="Calibri" w:cs="Calibri"/>
          <w:b/>
          <w:bCs/>
          <w:sz w:val="22"/>
          <w:szCs w:val="22"/>
        </w:rPr>
      </w:pPr>
      <w:r w:rsidRPr="00E8207A">
        <w:rPr>
          <w:rFonts w:ascii="Calibri" w:hAnsi="Calibri" w:cs="Calibri"/>
          <w:b/>
          <w:bCs/>
          <w:sz w:val="22"/>
          <w:szCs w:val="22"/>
        </w:rPr>
        <w:t>SBM FOR UP TO 50 YEARS</w:t>
      </w:r>
      <w:r w:rsidR="00E8207A">
        <w:rPr>
          <w:rFonts w:ascii="Calibri" w:hAnsi="Calibri" w:cs="Calibri"/>
          <w:b/>
          <w:bCs/>
          <w:sz w:val="22"/>
          <w:szCs w:val="22"/>
        </w:rPr>
        <w:t xml:space="preserve">. </w:t>
      </w:r>
      <w:r w:rsidR="00E8207A">
        <w:rPr>
          <w:rFonts w:ascii="Calibri" w:hAnsi="Calibri" w:cs="Calibri"/>
          <w:sz w:val="22"/>
          <w:szCs w:val="22"/>
        </w:rPr>
        <w:t xml:space="preserve">Defendants </w:t>
      </w:r>
      <w:r w:rsidR="00B96DE3" w:rsidRPr="00E8207A">
        <w:rPr>
          <w:rFonts w:ascii="Calibri" w:hAnsi="Calibri" w:cs="Calibri"/>
          <w:sz w:val="22"/>
          <w:szCs w:val="22"/>
        </w:rPr>
        <w:t xml:space="preserve">convicted of an offense that involved the </w:t>
      </w:r>
      <w:r w:rsidR="00033314" w:rsidRPr="00E8207A">
        <w:rPr>
          <w:rFonts w:ascii="Calibri" w:hAnsi="Calibri" w:cs="Calibri"/>
          <w:b/>
          <w:bCs/>
          <w:sz w:val="22"/>
          <w:szCs w:val="22"/>
        </w:rPr>
        <w:t>“</w:t>
      </w:r>
      <w:r w:rsidR="00B96DE3" w:rsidRPr="00E8207A">
        <w:rPr>
          <w:rFonts w:ascii="Calibri" w:hAnsi="Calibri" w:cs="Calibri"/>
          <w:b/>
          <w:bCs/>
          <w:sz w:val="22"/>
          <w:szCs w:val="22"/>
        </w:rPr>
        <w:t>physical, mental, or sexual abuse of a minor”</w:t>
      </w:r>
      <w:r w:rsidR="00E8207A">
        <w:rPr>
          <w:rFonts w:ascii="Calibri" w:hAnsi="Calibri" w:cs="Calibri"/>
          <w:b/>
          <w:bCs/>
          <w:sz w:val="22"/>
          <w:szCs w:val="22"/>
        </w:rPr>
        <w:t xml:space="preserve"> </w:t>
      </w:r>
      <w:r w:rsidR="00E8207A">
        <w:rPr>
          <w:rFonts w:ascii="Calibri" w:hAnsi="Calibri" w:cs="Calibri"/>
          <w:sz w:val="22"/>
          <w:szCs w:val="22"/>
        </w:rPr>
        <w:t xml:space="preserve">are eligible for SBM </w:t>
      </w:r>
      <w:r w:rsidR="00C76F17" w:rsidRPr="00C76F17">
        <w:rPr>
          <w:rFonts w:ascii="Calibri" w:hAnsi="Calibri" w:cs="Calibri"/>
          <w:sz w:val="22"/>
          <w:szCs w:val="22"/>
        </w:rPr>
        <w:t>for a period of time to be specified by the court, not to exceed 50 years</w:t>
      </w:r>
      <w:r w:rsidR="00E8207A">
        <w:rPr>
          <w:rFonts w:ascii="Calibri" w:hAnsi="Calibri" w:cs="Calibri"/>
          <w:sz w:val="22"/>
          <w:szCs w:val="22"/>
        </w:rPr>
        <w:t>, subject to the risk assessment and constitutional analysis described below</w:t>
      </w:r>
      <w:r w:rsidR="00E8207A" w:rsidRPr="00E8207A">
        <w:rPr>
          <w:rFonts w:ascii="Calibri" w:hAnsi="Calibri" w:cs="Calibri"/>
          <w:sz w:val="22"/>
          <w:szCs w:val="22"/>
        </w:rPr>
        <w:t xml:space="preserve"> </w:t>
      </w:r>
      <w:r w:rsidR="00B96DE3" w:rsidRPr="00E8207A">
        <w:rPr>
          <w:rFonts w:ascii="Calibri" w:hAnsi="Calibri" w:cs="Calibri"/>
          <w:sz w:val="22"/>
          <w:szCs w:val="22"/>
        </w:rPr>
        <w:t>G.S. 14-208.40</w:t>
      </w:r>
      <w:r w:rsidR="00700632" w:rsidRPr="00E8207A">
        <w:rPr>
          <w:rFonts w:ascii="Calibri" w:hAnsi="Calibri" w:cs="Calibri"/>
          <w:sz w:val="22"/>
          <w:szCs w:val="22"/>
        </w:rPr>
        <w:t>A</w:t>
      </w:r>
      <w:r w:rsidR="004B2B21" w:rsidRPr="00E8207A">
        <w:rPr>
          <w:rFonts w:ascii="Calibri" w:hAnsi="Calibri" w:cs="Calibri"/>
          <w:sz w:val="22"/>
          <w:szCs w:val="22"/>
        </w:rPr>
        <w:t>.</w:t>
      </w:r>
      <w:r w:rsidR="004C5726" w:rsidRPr="00E8207A">
        <w:rPr>
          <w:rFonts w:ascii="Calibri" w:hAnsi="Calibri" w:cs="Calibri"/>
          <w:sz w:val="22"/>
          <w:szCs w:val="22"/>
        </w:rPr>
        <w:t xml:space="preserve"> “Physical, mental, or sexual abuse of a minor” is undefined. </w:t>
      </w:r>
      <w:r w:rsidR="00820BB9" w:rsidRPr="00E8207A">
        <w:rPr>
          <w:rFonts w:ascii="Calibri" w:hAnsi="Calibri" w:cs="Calibri"/>
          <w:sz w:val="22"/>
          <w:szCs w:val="22"/>
        </w:rPr>
        <w:t>Based on appellate cases decided thus far, it includes the following:</w:t>
      </w:r>
      <w:r w:rsidR="004C5726" w:rsidRPr="00E8207A">
        <w:rPr>
          <w:rFonts w:ascii="Calibri" w:hAnsi="Calibri" w:cs="Calibri"/>
          <w:sz w:val="22"/>
          <w:szCs w:val="22"/>
        </w:rPr>
        <w:t xml:space="preserve"> </w:t>
      </w:r>
    </w:p>
    <w:p w14:paraId="24B1A215" w14:textId="068B4415" w:rsidR="004B2B21" w:rsidRDefault="00820BB9" w:rsidP="004B2B21">
      <w:pPr>
        <w:pStyle w:val="ListParagraph"/>
        <w:numPr>
          <w:ilvl w:val="1"/>
          <w:numId w:val="4"/>
        </w:numPr>
        <w:rPr>
          <w:rFonts w:ascii="Calibri" w:hAnsi="Calibri" w:cs="Calibri"/>
          <w:sz w:val="22"/>
          <w:szCs w:val="22"/>
        </w:rPr>
      </w:pPr>
      <w:r>
        <w:rPr>
          <w:rFonts w:ascii="Calibri" w:hAnsi="Calibri" w:cs="Calibri"/>
          <w:sz w:val="22"/>
          <w:szCs w:val="22"/>
        </w:rPr>
        <w:t xml:space="preserve">Indecent liberties with a child. </w:t>
      </w:r>
      <w:r w:rsidR="00EE2258">
        <w:rPr>
          <w:rFonts w:ascii="Calibri" w:hAnsi="Calibri" w:cs="Calibri"/>
          <w:sz w:val="22"/>
          <w:szCs w:val="22"/>
        </w:rPr>
        <w:t>State v. Jarvis, 214 N.C. App. 84 (2011)</w:t>
      </w:r>
    </w:p>
    <w:p w14:paraId="55004195" w14:textId="431A73E8" w:rsidR="00550B29" w:rsidRDefault="00710D53" w:rsidP="00550B29">
      <w:pPr>
        <w:pStyle w:val="ListParagraph"/>
        <w:numPr>
          <w:ilvl w:val="1"/>
          <w:numId w:val="4"/>
        </w:numPr>
        <w:rPr>
          <w:rFonts w:ascii="Calibri" w:hAnsi="Calibri" w:cs="Calibri"/>
          <w:sz w:val="22"/>
          <w:szCs w:val="22"/>
        </w:rPr>
      </w:pPr>
      <w:r>
        <w:rPr>
          <w:rFonts w:ascii="Calibri" w:hAnsi="Calibri" w:cs="Calibri"/>
          <w:sz w:val="22"/>
          <w:szCs w:val="22"/>
        </w:rPr>
        <w:t xml:space="preserve">Solicitation to commit indecent liberties. State v. Cowan, 207 N.C. App. </w:t>
      </w:r>
      <w:r w:rsidR="00485746">
        <w:rPr>
          <w:rFonts w:ascii="Calibri" w:hAnsi="Calibri" w:cs="Calibri"/>
          <w:sz w:val="22"/>
          <w:szCs w:val="22"/>
        </w:rPr>
        <w:t>192 (2010)</w:t>
      </w:r>
    </w:p>
    <w:p w14:paraId="408D7AD3" w14:textId="77777777" w:rsidR="008557BF" w:rsidRDefault="00550B29" w:rsidP="008557BF">
      <w:pPr>
        <w:pStyle w:val="ListParagraph"/>
        <w:ind w:left="1080"/>
        <w:rPr>
          <w:rFonts w:ascii="Calibri" w:hAnsi="Calibri" w:cs="Calibri"/>
          <w:sz w:val="22"/>
          <w:szCs w:val="22"/>
        </w:rPr>
      </w:pPr>
      <w:r>
        <w:rPr>
          <w:rFonts w:ascii="Calibri" w:hAnsi="Calibri" w:cs="Calibri"/>
          <w:sz w:val="22"/>
          <w:szCs w:val="22"/>
        </w:rPr>
        <w:t xml:space="preserve">Other </w:t>
      </w:r>
      <w:r w:rsidR="00612C8B">
        <w:rPr>
          <w:rFonts w:ascii="Calibri" w:hAnsi="Calibri" w:cs="Calibri"/>
          <w:sz w:val="22"/>
          <w:szCs w:val="22"/>
        </w:rPr>
        <w:t>crimes may also qualify.</w:t>
      </w:r>
    </w:p>
    <w:p w14:paraId="0CB85E79" w14:textId="77777777" w:rsidR="00AD7C44" w:rsidRDefault="00EA20A3" w:rsidP="008557BF">
      <w:pPr>
        <w:pStyle w:val="ListParagraph"/>
        <w:rPr>
          <w:rFonts w:ascii="Calibri" w:hAnsi="Calibri" w:cs="Calibri"/>
          <w:sz w:val="22"/>
          <w:szCs w:val="22"/>
        </w:rPr>
      </w:pPr>
      <w:r w:rsidRPr="008557BF">
        <w:rPr>
          <w:rFonts w:ascii="Calibri" w:hAnsi="Calibri" w:cs="Calibri"/>
          <w:sz w:val="22"/>
          <w:szCs w:val="22"/>
        </w:rPr>
        <w:t>The governing statute</w:t>
      </w:r>
      <w:r w:rsidR="0091148A" w:rsidRPr="008557BF">
        <w:rPr>
          <w:rFonts w:ascii="Calibri" w:hAnsi="Calibri" w:cs="Calibri"/>
          <w:sz w:val="22"/>
          <w:szCs w:val="22"/>
        </w:rPr>
        <w:t xml:space="preserve"> for this category of SBM</w:t>
      </w:r>
      <w:r w:rsidRPr="008557BF">
        <w:rPr>
          <w:rFonts w:ascii="Calibri" w:hAnsi="Calibri" w:cs="Calibri"/>
          <w:sz w:val="22"/>
          <w:szCs w:val="22"/>
        </w:rPr>
        <w:t>, G.S. 14-208.40A</w:t>
      </w:r>
      <w:r w:rsidR="00793DA8" w:rsidRPr="008557BF">
        <w:rPr>
          <w:rFonts w:ascii="Calibri" w:hAnsi="Calibri" w:cs="Calibri"/>
          <w:sz w:val="22"/>
          <w:szCs w:val="22"/>
        </w:rPr>
        <w:t xml:space="preserve">(d), also requires the court to </w:t>
      </w:r>
      <w:r w:rsidR="0091148A" w:rsidRPr="008557BF">
        <w:rPr>
          <w:rFonts w:ascii="Calibri" w:hAnsi="Calibri" w:cs="Calibri"/>
          <w:sz w:val="22"/>
          <w:szCs w:val="22"/>
        </w:rPr>
        <w:t xml:space="preserve">make a finding that the defendant’s offense </w:t>
      </w:r>
      <w:r w:rsidR="007346C8" w:rsidRPr="008557BF">
        <w:rPr>
          <w:rFonts w:ascii="Calibri" w:hAnsi="Calibri" w:cs="Calibri"/>
          <w:sz w:val="22"/>
          <w:szCs w:val="22"/>
        </w:rPr>
        <w:t xml:space="preserve">is not in one of the categories that qualifies </w:t>
      </w:r>
      <w:r w:rsidR="003B17E1" w:rsidRPr="008557BF">
        <w:rPr>
          <w:rFonts w:ascii="Calibri" w:hAnsi="Calibri" w:cs="Calibri"/>
          <w:sz w:val="22"/>
          <w:szCs w:val="22"/>
        </w:rPr>
        <w:t xml:space="preserve">them for lifetime SBM. </w:t>
      </w:r>
      <w:r w:rsidR="00D60C3D" w:rsidRPr="008557BF">
        <w:rPr>
          <w:rFonts w:ascii="Calibri" w:hAnsi="Calibri" w:cs="Calibri"/>
          <w:sz w:val="22"/>
          <w:szCs w:val="22"/>
        </w:rPr>
        <w:t xml:space="preserve">Thus, the court must find that </w:t>
      </w:r>
      <w:r w:rsidR="0022667E" w:rsidRPr="008557BF">
        <w:rPr>
          <w:rFonts w:ascii="Calibri" w:hAnsi="Calibri" w:cs="Calibri"/>
          <w:sz w:val="22"/>
          <w:szCs w:val="22"/>
        </w:rPr>
        <w:t xml:space="preserve">(1) </w:t>
      </w:r>
      <w:r w:rsidR="00D60C3D" w:rsidRPr="008557BF">
        <w:rPr>
          <w:rFonts w:ascii="Calibri" w:hAnsi="Calibri" w:cs="Calibri"/>
          <w:sz w:val="22"/>
          <w:szCs w:val="22"/>
        </w:rPr>
        <w:t xml:space="preserve">the defendant’s offense </w:t>
      </w:r>
      <w:r w:rsidR="0091148A" w:rsidRPr="008557BF">
        <w:rPr>
          <w:rFonts w:ascii="Calibri" w:hAnsi="Calibri" w:cs="Calibri"/>
          <w:sz w:val="22"/>
          <w:szCs w:val="22"/>
        </w:rPr>
        <w:t xml:space="preserve">is </w:t>
      </w:r>
      <w:r w:rsidR="00DE7FA2" w:rsidRPr="008557BF">
        <w:rPr>
          <w:rFonts w:ascii="Calibri" w:hAnsi="Calibri" w:cs="Calibri"/>
          <w:sz w:val="22"/>
          <w:szCs w:val="22"/>
          <w:u w:val="single"/>
        </w:rPr>
        <w:t>not</w:t>
      </w:r>
      <w:r w:rsidR="00DE7FA2" w:rsidRPr="008557BF">
        <w:rPr>
          <w:rFonts w:ascii="Calibri" w:hAnsi="Calibri" w:cs="Calibri"/>
          <w:sz w:val="22"/>
          <w:szCs w:val="22"/>
        </w:rPr>
        <w:t xml:space="preserve"> an aggravated offense</w:t>
      </w:r>
      <w:r w:rsidR="00FC638D" w:rsidRPr="008557BF">
        <w:rPr>
          <w:rFonts w:ascii="Calibri" w:hAnsi="Calibri" w:cs="Calibri"/>
          <w:sz w:val="22"/>
          <w:szCs w:val="22"/>
        </w:rPr>
        <w:t xml:space="preserve">, </w:t>
      </w:r>
      <w:r w:rsidR="0022667E" w:rsidRPr="008557BF">
        <w:rPr>
          <w:rFonts w:ascii="Calibri" w:hAnsi="Calibri" w:cs="Calibri"/>
          <w:sz w:val="22"/>
          <w:szCs w:val="22"/>
        </w:rPr>
        <w:t xml:space="preserve">(2) </w:t>
      </w:r>
      <w:r w:rsidR="00D60C3D" w:rsidRPr="008557BF">
        <w:rPr>
          <w:rFonts w:ascii="Calibri" w:hAnsi="Calibri" w:cs="Calibri"/>
          <w:sz w:val="22"/>
          <w:szCs w:val="22"/>
          <w:u w:val="single"/>
        </w:rPr>
        <w:t>not</w:t>
      </w:r>
      <w:r w:rsidR="00D60C3D" w:rsidRPr="008557BF">
        <w:rPr>
          <w:rFonts w:ascii="Calibri" w:hAnsi="Calibri" w:cs="Calibri"/>
          <w:sz w:val="22"/>
          <w:szCs w:val="22"/>
        </w:rPr>
        <w:t xml:space="preserve"> </w:t>
      </w:r>
      <w:r w:rsidR="00DE7FA2" w:rsidRPr="008557BF">
        <w:rPr>
          <w:rFonts w:ascii="Calibri" w:hAnsi="Calibri" w:cs="Calibri"/>
          <w:sz w:val="22"/>
          <w:szCs w:val="22"/>
        </w:rPr>
        <w:t xml:space="preserve">a </w:t>
      </w:r>
      <w:r w:rsidR="00FC638D" w:rsidRPr="008557BF">
        <w:rPr>
          <w:rFonts w:ascii="Calibri" w:hAnsi="Calibri" w:cs="Calibri"/>
          <w:sz w:val="22"/>
          <w:szCs w:val="22"/>
        </w:rPr>
        <w:t xml:space="preserve">rape or sexual offense with a child by an adult in </w:t>
      </w:r>
      <w:r w:rsidR="00DE7FA2" w:rsidRPr="008557BF">
        <w:rPr>
          <w:rFonts w:ascii="Calibri" w:hAnsi="Calibri" w:cs="Calibri"/>
          <w:sz w:val="22"/>
          <w:szCs w:val="22"/>
        </w:rPr>
        <w:t>violation of G.S. 14</w:t>
      </w:r>
      <w:r w:rsidR="00DE7FA2" w:rsidRPr="008557BF">
        <w:rPr>
          <w:rFonts w:ascii="Calibri" w:hAnsi="Calibri" w:cs="Calibri"/>
          <w:sz w:val="22"/>
          <w:szCs w:val="22"/>
        </w:rPr>
        <w:noBreakHyphen/>
        <w:t>27.23 or G.S. 14</w:t>
      </w:r>
      <w:r w:rsidR="00DE7FA2" w:rsidRPr="008557BF">
        <w:rPr>
          <w:rFonts w:ascii="Calibri" w:hAnsi="Calibri" w:cs="Calibri"/>
          <w:sz w:val="22"/>
          <w:szCs w:val="22"/>
        </w:rPr>
        <w:noBreakHyphen/>
        <w:t>27.28</w:t>
      </w:r>
      <w:r w:rsidR="00FC638D" w:rsidRPr="008557BF">
        <w:rPr>
          <w:rFonts w:ascii="Calibri" w:hAnsi="Calibri" w:cs="Calibri"/>
          <w:sz w:val="22"/>
          <w:szCs w:val="22"/>
        </w:rPr>
        <w:t xml:space="preserve">, and </w:t>
      </w:r>
      <w:r w:rsidR="006D1034" w:rsidRPr="008557BF">
        <w:rPr>
          <w:rFonts w:ascii="Calibri" w:hAnsi="Calibri" w:cs="Calibri"/>
          <w:sz w:val="22"/>
          <w:szCs w:val="22"/>
        </w:rPr>
        <w:t xml:space="preserve">(3) </w:t>
      </w:r>
      <w:r w:rsidR="00FC638D" w:rsidRPr="008557BF">
        <w:rPr>
          <w:rFonts w:ascii="Calibri" w:hAnsi="Calibri" w:cs="Calibri"/>
          <w:sz w:val="22"/>
          <w:szCs w:val="22"/>
        </w:rPr>
        <w:t xml:space="preserve">that the defendant is either </w:t>
      </w:r>
      <w:r w:rsidR="00FC638D" w:rsidRPr="008557BF">
        <w:rPr>
          <w:rFonts w:ascii="Calibri" w:hAnsi="Calibri" w:cs="Calibri"/>
          <w:sz w:val="22"/>
          <w:szCs w:val="22"/>
          <w:u w:val="single"/>
        </w:rPr>
        <w:t>not</w:t>
      </w:r>
      <w:r w:rsidR="00FC638D" w:rsidRPr="008557BF">
        <w:rPr>
          <w:rFonts w:ascii="Calibri" w:hAnsi="Calibri" w:cs="Calibri"/>
          <w:sz w:val="22"/>
          <w:szCs w:val="22"/>
        </w:rPr>
        <w:t xml:space="preserve"> a reoffender or</w:t>
      </w:r>
      <w:r w:rsidR="004D6DF8" w:rsidRPr="008557BF">
        <w:rPr>
          <w:rFonts w:ascii="Calibri" w:hAnsi="Calibri" w:cs="Calibri"/>
          <w:sz w:val="22"/>
          <w:szCs w:val="22"/>
        </w:rPr>
        <w:t xml:space="preserve">, </w:t>
      </w:r>
      <w:r w:rsidR="00FC638D" w:rsidRPr="008557BF">
        <w:rPr>
          <w:rFonts w:ascii="Calibri" w:hAnsi="Calibri" w:cs="Calibri"/>
          <w:sz w:val="22"/>
          <w:szCs w:val="22"/>
        </w:rPr>
        <w:t xml:space="preserve">if they are a </w:t>
      </w:r>
      <w:r w:rsidR="004D6DF8" w:rsidRPr="008557BF">
        <w:rPr>
          <w:rFonts w:ascii="Calibri" w:hAnsi="Calibri" w:cs="Calibri"/>
          <w:sz w:val="22"/>
          <w:szCs w:val="22"/>
        </w:rPr>
        <w:t>reoffender</w:t>
      </w:r>
      <w:r w:rsidR="00D60C3D" w:rsidRPr="008557BF">
        <w:rPr>
          <w:rFonts w:ascii="Calibri" w:hAnsi="Calibri" w:cs="Calibri"/>
          <w:sz w:val="22"/>
          <w:szCs w:val="22"/>
        </w:rPr>
        <w:t xml:space="preserve"> (by virtue of having a prior felony sex crime conviction)</w:t>
      </w:r>
      <w:r w:rsidR="003B17E1" w:rsidRPr="008557BF">
        <w:rPr>
          <w:rFonts w:ascii="Calibri" w:hAnsi="Calibri" w:cs="Calibri"/>
          <w:sz w:val="22"/>
          <w:szCs w:val="22"/>
        </w:rPr>
        <w:t xml:space="preserve">, </w:t>
      </w:r>
      <w:r w:rsidR="00932BF8" w:rsidRPr="008557BF">
        <w:rPr>
          <w:rFonts w:ascii="Calibri" w:hAnsi="Calibri" w:cs="Calibri"/>
          <w:sz w:val="22"/>
          <w:szCs w:val="22"/>
        </w:rPr>
        <w:t>that</w:t>
      </w:r>
      <w:r w:rsidR="003B17E1" w:rsidRPr="008557BF">
        <w:rPr>
          <w:rFonts w:ascii="Calibri" w:hAnsi="Calibri" w:cs="Calibri"/>
          <w:sz w:val="22"/>
          <w:szCs w:val="22"/>
        </w:rPr>
        <w:t xml:space="preserve"> they are a reoffender of </w:t>
      </w:r>
      <w:r w:rsidR="007346C8" w:rsidRPr="008557BF">
        <w:rPr>
          <w:rFonts w:ascii="Calibri" w:hAnsi="Calibri" w:cs="Calibri"/>
          <w:sz w:val="22"/>
          <w:szCs w:val="22"/>
        </w:rPr>
        <w:t>one of the listed offenses that does not trigger lifetime SBM</w:t>
      </w:r>
      <w:r w:rsidR="00DE7FA2" w:rsidRPr="008557BF">
        <w:rPr>
          <w:rFonts w:ascii="Calibri" w:hAnsi="Calibri" w:cs="Calibri"/>
          <w:sz w:val="22"/>
          <w:szCs w:val="22"/>
        </w:rPr>
        <w:t xml:space="preserve"> </w:t>
      </w:r>
      <w:r w:rsidR="007346C8" w:rsidRPr="008557BF">
        <w:rPr>
          <w:rFonts w:ascii="Calibri" w:hAnsi="Calibri" w:cs="Calibri"/>
          <w:sz w:val="22"/>
          <w:szCs w:val="22"/>
        </w:rPr>
        <w:t>(</w:t>
      </w:r>
      <w:r w:rsidR="00DE7FA2" w:rsidRPr="008557BF">
        <w:rPr>
          <w:rFonts w:ascii="Calibri" w:hAnsi="Calibri" w:cs="Calibri"/>
          <w:sz w:val="22"/>
          <w:szCs w:val="22"/>
        </w:rPr>
        <w:t>G.S. 14</w:t>
      </w:r>
      <w:r w:rsidR="00DE7FA2" w:rsidRPr="008557BF">
        <w:rPr>
          <w:rFonts w:ascii="Calibri" w:hAnsi="Calibri" w:cs="Calibri"/>
          <w:sz w:val="22"/>
          <w:szCs w:val="22"/>
        </w:rPr>
        <w:noBreakHyphen/>
        <w:t>27.31, 14</w:t>
      </w:r>
      <w:r w:rsidR="00DE7FA2" w:rsidRPr="008557BF">
        <w:rPr>
          <w:rFonts w:ascii="Calibri" w:hAnsi="Calibri" w:cs="Calibri"/>
          <w:sz w:val="22"/>
          <w:szCs w:val="22"/>
        </w:rPr>
        <w:noBreakHyphen/>
        <w:t>27.32, 14</w:t>
      </w:r>
      <w:r w:rsidR="00DE7FA2" w:rsidRPr="008557BF">
        <w:rPr>
          <w:rFonts w:ascii="Calibri" w:hAnsi="Calibri" w:cs="Calibri"/>
          <w:sz w:val="22"/>
          <w:szCs w:val="22"/>
        </w:rPr>
        <w:noBreakHyphen/>
        <w:t>27.33, 14</w:t>
      </w:r>
      <w:r w:rsidR="00DE7FA2" w:rsidRPr="008557BF">
        <w:rPr>
          <w:rFonts w:ascii="Calibri" w:hAnsi="Calibri" w:cs="Calibri"/>
          <w:sz w:val="22"/>
          <w:szCs w:val="22"/>
        </w:rPr>
        <w:noBreakHyphen/>
        <w:t>178(b)(3), 14</w:t>
      </w:r>
      <w:r w:rsidR="00DE7FA2" w:rsidRPr="008557BF">
        <w:rPr>
          <w:rFonts w:ascii="Calibri" w:hAnsi="Calibri" w:cs="Calibri"/>
          <w:sz w:val="22"/>
          <w:szCs w:val="22"/>
        </w:rPr>
        <w:noBreakHyphen/>
        <w:t>190.6, 14</w:t>
      </w:r>
      <w:r w:rsidR="00DE7FA2" w:rsidRPr="008557BF">
        <w:rPr>
          <w:rFonts w:ascii="Calibri" w:hAnsi="Calibri" w:cs="Calibri"/>
          <w:sz w:val="22"/>
          <w:szCs w:val="22"/>
        </w:rPr>
        <w:noBreakHyphen/>
        <w:t>190.9(a1), 14</w:t>
      </w:r>
      <w:r w:rsidR="00DE7FA2" w:rsidRPr="008557BF">
        <w:rPr>
          <w:rFonts w:ascii="Calibri" w:hAnsi="Calibri" w:cs="Calibri"/>
          <w:sz w:val="22"/>
          <w:szCs w:val="22"/>
        </w:rPr>
        <w:noBreakHyphen/>
        <w:t>190.17, 14</w:t>
      </w:r>
      <w:r w:rsidR="00DE7FA2" w:rsidRPr="008557BF">
        <w:rPr>
          <w:rFonts w:ascii="Calibri" w:hAnsi="Calibri" w:cs="Calibri"/>
          <w:sz w:val="22"/>
          <w:szCs w:val="22"/>
        </w:rPr>
        <w:noBreakHyphen/>
        <w:t>190.17A, 14</w:t>
      </w:r>
      <w:r w:rsidR="00DE7FA2" w:rsidRPr="008557BF">
        <w:rPr>
          <w:rFonts w:ascii="Calibri" w:hAnsi="Calibri" w:cs="Calibri"/>
          <w:sz w:val="22"/>
          <w:szCs w:val="22"/>
        </w:rPr>
        <w:noBreakHyphen/>
        <w:t>190.17C, 14</w:t>
      </w:r>
      <w:r w:rsidR="00DE7FA2" w:rsidRPr="008557BF">
        <w:rPr>
          <w:rFonts w:ascii="Calibri" w:hAnsi="Calibri" w:cs="Calibri"/>
          <w:sz w:val="22"/>
          <w:szCs w:val="22"/>
        </w:rPr>
        <w:noBreakHyphen/>
        <w:t>202.1, 14</w:t>
      </w:r>
      <w:r w:rsidR="00DE7FA2" w:rsidRPr="008557BF">
        <w:rPr>
          <w:rFonts w:ascii="Calibri" w:hAnsi="Calibri" w:cs="Calibri"/>
          <w:sz w:val="22"/>
          <w:szCs w:val="22"/>
        </w:rPr>
        <w:noBreakHyphen/>
        <w:t>202.3, 14</w:t>
      </w:r>
      <w:r w:rsidR="00DE7FA2" w:rsidRPr="008557BF">
        <w:rPr>
          <w:rFonts w:ascii="Calibri" w:hAnsi="Calibri" w:cs="Calibri"/>
          <w:sz w:val="22"/>
          <w:szCs w:val="22"/>
        </w:rPr>
        <w:noBreakHyphen/>
        <w:t>202.4(a), or 14</w:t>
      </w:r>
      <w:r w:rsidR="00DE7FA2" w:rsidRPr="008557BF">
        <w:rPr>
          <w:rFonts w:ascii="Calibri" w:hAnsi="Calibri" w:cs="Calibri"/>
          <w:sz w:val="22"/>
          <w:szCs w:val="22"/>
        </w:rPr>
        <w:noBreakHyphen/>
        <w:t>205.2(c)</w:t>
      </w:r>
      <w:r w:rsidR="007346C8" w:rsidRPr="008557BF">
        <w:rPr>
          <w:rFonts w:ascii="Calibri" w:hAnsi="Calibri" w:cs="Calibri"/>
          <w:sz w:val="22"/>
          <w:szCs w:val="22"/>
        </w:rPr>
        <w:t>)</w:t>
      </w:r>
      <w:r w:rsidR="00DE7FA2" w:rsidRPr="008557BF">
        <w:rPr>
          <w:rFonts w:ascii="Calibri" w:hAnsi="Calibri" w:cs="Calibri"/>
          <w:sz w:val="22"/>
          <w:szCs w:val="22"/>
        </w:rPr>
        <w:t xml:space="preserve">. </w:t>
      </w:r>
      <w:r w:rsidR="00211099" w:rsidRPr="008557BF">
        <w:rPr>
          <w:rFonts w:ascii="Calibri" w:hAnsi="Calibri" w:cs="Calibri"/>
          <w:sz w:val="22"/>
          <w:szCs w:val="22"/>
        </w:rPr>
        <w:t>T</w:t>
      </w:r>
      <w:r w:rsidR="00276FA8" w:rsidRPr="008557BF">
        <w:rPr>
          <w:rFonts w:ascii="Calibri" w:hAnsi="Calibri" w:cs="Calibri"/>
          <w:sz w:val="22"/>
          <w:szCs w:val="22"/>
        </w:rPr>
        <w:t>his finding is simply to rule out lifetime</w:t>
      </w:r>
      <w:r w:rsidR="00E91ADD" w:rsidRPr="008557BF">
        <w:rPr>
          <w:rFonts w:ascii="Calibri" w:hAnsi="Calibri" w:cs="Calibri"/>
          <w:sz w:val="22"/>
          <w:szCs w:val="22"/>
        </w:rPr>
        <w:t xml:space="preserve"> SBM; it </w:t>
      </w:r>
      <w:r w:rsidR="00B009DA" w:rsidRPr="008557BF">
        <w:rPr>
          <w:rFonts w:ascii="Calibri" w:hAnsi="Calibri" w:cs="Calibri"/>
          <w:sz w:val="22"/>
          <w:szCs w:val="22"/>
        </w:rPr>
        <w:t xml:space="preserve">does </w:t>
      </w:r>
      <w:r w:rsidR="00E91ADD" w:rsidRPr="008557BF">
        <w:rPr>
          <w:rFonts w:ascii="Calibri" w:hAnsi="Calibri" w:cs="Calibri"/>
          <w:sz w:val="22"/>
          <w:szCs w:val="22"/>
        </w:rPr>
        <w:t xml:space="preserve">not </w:t>
      </w:r>
      <w:r w:rsidR="00B009DA" w:rsidRPr="008557BF">
        <w:rPr>
          <w:rFonts w:ascii="Calibri" w:hAnsi="Calibri" w:cs="Calibri"/>
          <w:sz w:val="22"/>
          <w:szCs w:val="22"/>
        </w:rPr>
        <w:t xml:space="preserve">create </w:t>
      </w:r>
      <w:r w:rsidR="00E91ADD" w:rsidRPr="008557BF">
        <w:rPr>
          <w:rFonts w:ascii="Calibri" w:hAnsi="Calibri" w:cs="Calibri"/>
          <w:sz w:val="22"/>
          <w:szCs w:val="22"/>
        </w:rPr>
        <w:t xml:space="preserve">a new standalone basis for SBM of up to </w:t>
      </w:r>
      <w:r w:rsidR="00B009DA" w:rsidRPr="008557BF">
        <w:rPr>
          <w:rFonts w:ascii="Calibri" w:hAnsi="Calibri" w:cs="Calibri"/>
          <w:sz w:val="22"/>
          <w:szCs w:val="22"/>
        </w:rPr>
        <w:t>50 years, which is triggered only by a finding that the defendant committed an offense that involved the mental, physical, or sexual abuse of a minor.</w:t>
      </w:r>
    </w:p>
    <w:p w14:paraId="5D2A75D8" w14:textId="698ACBC6" w:rsidR="00CC3CC9" w:rsidRPr="00550B29" w:rsidRDefault="00211099" w:rsidP="008557BF">
      <w:pPr>
        <w:pStyle w:val="ListParagraph"/>
        <w:rPr>
          <w:rFonts w:ascii="Calibri" w:hAnsi="Calibri" w:cs="Calibri"/>
          <w:sz w:val="22"/>
          <w:szCs w:val="22"/>
        </w:rPr>
      </w:pPr>
      <w:r w:rsidRPr="008557BF">
        <w:rPr>
          <w:rFonts w:ascii="Calibri" w:hAnsi="Calibri" w:cs="Calibri"/>
          <w:sz w:val="22"/>
          <w:szCs w:val="22"/>
        </w:rPr>
        <w:br/>
      </w:r>
    </w:p>
    <w:p w14:paraId="2957E885" w14:textId="661F6917" w:rsidR="00155656" w:rsidRPr="007200FF" w:rsidRDefault="007200FF" w:rsidP="007200FF">
      <w:pPr>
        <w:rPr>
          <w:rFonts w:ascii="Calibri" w:hAnsi="Calibri" w:cs="Calibri"/>
          <w:b/>
          <w:bCs/>
          <w:sz w:val="22"/>
          <w:szCs w:val="22"/>
        </w:rPr>
      </w:pPr>
      <w:r>
        <w:rPr>
          <w:rFonts w:ascii="Calibri" w:hAnsi="Calibri" w:cs="Calibri"/>
          <w:b/>
          <w:bCs/>
          <w:sz w:val="22"/>
          <w:szCs w:val="22"/>
        </w:rPr>
        <w:lastRenderedPageBreak/>
        <w:t xml:space="preserve">Step 2: </w:t>
      </w:r>
      <w:r w:rsidR="004842E7" w:rsidRPr="007200FF">
        <w:rPr>
          <w:rFonts w:ascii="Calibri" w:hAnsi="Calibri" w:cs="Calibri"/>
          <w:b/>
          <w:bCs/>
          <w:sz w:val="22"/>
          <w:szCs w:val="22"/>
        </w:rPr>
        <w:t xml:space="preserve">Does the defendant </w:t>
      </w:r>
      <w:r w:rsidR="007D6985" w:rsidRPr="007200FF">
        <w:rPr>
          <w:rFonts w:ascii="Calibri" w:hAnsi="Calibri" w:cs="Calibri"/>
          <w:b/>
          <w:bCs/>
          <w:sz w:val="22"/>
          <w:szCs w:val="22"/>
        </w:rPr>
        <w:t xml:space="preserve">require the highest possible level of supervision and monitoring? </w:t>
      </w:r>
    </w:p>
    <w:p w14:paraId="5BFF1183" w14:textId="77777777" w:rsidR="00622523" w:rsidRDefault="00622523" w:rsidP="007D6985">
      <w:pPr>
        <w:pStyle w:val="ListParagraph"/>
        <w:ind w:left="360"/>
        <w:rPr>
          <w:rFonts w:ascii="Calibri" w:hAnsi="Calibri" w:cs="Calibri"/>
          <w:sz w:val="22"/>
          <w:szCs w:val="22"/>
        </w:rPr>
      </w:pPr>
    </w:p>
    <w:p w14:paraId="758E1806" w14:textId="3A56C743" w:rsidR="00622523" w:rsidRDefault="00622523" w:rsidP="00FE7D63">
      <w:pPr>
        <w:pStyle w:val="ListParagraph"/>
        <w:ind w:left="360"/>
        <w:rPr>
          <w:rFonts w:ascii="Calibri" w:hAnsi="Calibri" w:cs="Calibri"/>
          <w:sz w:val="22"/>
          <w:szCs w:val="22"/>
        </w:rPr>
      </w:pPr>
      <w:r>
        <w:rPr>
          <w:rFonts w:ascii="Calibri" w:hAnsi="Calibri" w:cs="Calibri"/>
          <w:sz w:val="22"/>
          <w:szCs w:val="22"/>
        </w:rPr>
        <w:t xml:space="preserve">For </w:t>
      </w:r>
      <w:proofErr w:type="gramStart"/>
      <w:r>
        <w:rPr>
          <w:rFonts w:ascii="Calibri" w:hAnsi="Calibri" w:cs="Calibri"/>
          <w:sz w:val="22"/>
          <w:szCs w:val="22"/>
        </w:rPr>
        <w:t xml:space="preserve">both </w:t>
      </w:r>
      <w:r w:rsidR="007346C8">
        <w:rPr>
          <w:rFonts w:ascii="Calibri" w:hAnsi="Calibri" w:cs="Calibri"/>
          <w:sz w:val="22"/>
          <w:szCs w:val="22"/>
        </w:rPr>
        <w:t xml:space="preserve">of the </w:t>
      </w:r>
      <w:r>
        <w:rPr>
          <w:rFonts w:ascii="Calibri" w:hAnsi="Calibri" w:cs="Calibri"/>
          <w:sz w:val="22"/>
          <w:szCs w:val="22"/>
        </w:rPr>
        <w:t>categories</w:t>
      </w:r>
      <w:proofErr w:type="gramEnd"/>
      <w:r>
        <w:rPr>
          <w:rFonts w:ascii="Calibri" w:hAnsi="Calibri" w:cs="Calibri"/>
          <w:sz w:val="22"/>
          <w:szCs w:val="22"/>
        </w:rPr>
        <w:t xml:space="preserve"> of SBM eligibility</w:t>
      </w:r>
      <w:r w:rsidR="007346C8">
        <w:rPr>
          <w:rFonts w:ascii="Calibri" w:hAnsi="Calibri" w:cs="Calibri"/>
          <w:sz w:val="22"/>
          <w:szCs w:val="22"/>
        </w:rPr>
        <w:t>—(</w:t>
      </w:r>
      <w:r w:rsidR="0022414C">
        <w:rPr>
          <w:rFonts w:ascii="Calibri" w:hAnsi="Calibri" w:cs="Calibri"/>
          <w:sz w:val="22"/>
          <w:szCs w:val="22"/>
        </w:rPr>
        <w:t xml:space="preserve">A) </w:t>
      </w:r>
      <w:r>
        <w:rPr>
          <w:rFonts w:ascii="Calibri" w:hAnsi="Calibri" w:cs="Calibri"/>
          <w:sz w:val="22"/>
          <w:szCs w:val="22"/>
        </w:rPr>
        <w:t xml:space="preserve">lifetime and </w:t>
      </w:r>
      <w:r w:rsidR="0022414C">
        <w:rPr>
          <w:rFonts w:ascii="Calibri" w:hAnsi="Calibri" w:cs="Calibri"/>
          <w:sz w:val="22"/>
          <w:szCs w:val="22"/>
        </w:rPr>
        <w:t xml:space="preserve">(B) </w:t>
      </w:r>
      <w:r>
        <w:rPr>
          <w:rFonts w:ascii="Calibri" w:hAnsi="Calibri" w:cs="Calibri"/>
          <w:sz w:val="22"/>
          <w:szCs w:val="22"/>
        </w:rPr>
        <w:t>up</w:t>
      </w:r>
      <w:r w:rsidR="00943794">
        <w:rPr>
          <w:rFonts w:ascii="Calibri" w:hAnsi="Calibri" w:cs="Calibri"/>
          <w:sz w:val="22"/>
          <w:szCs w:val="22"/>
        </w:rPr>
        <w:t xml:space="preserve"> </w:t>
      </w:r>
      <w:r>
        <w:rPr>
          <w:rFonts w:ascii="Calibri" w:hAnsi="Calibri" w:cs="Calibri"/>
          <w:sz w:val="22"/>
          <w:szCs w:val="22"/>
        </w:rPr>
        <w:t>to</w:t>
      </w:r>
      <w:r w:rsidR="00943794">
        <w:rPr>
          <w:rFonts w:ascii="Calibri" w:hAnsi="Calibri" w:cs="Calibri"/>
          <w:sz w:val="22"/>
          <w:szCs w:val="22"/>
        </w:rPr>
        <w:t xml:space="preserve"> </w:t>
      </w:r>
      <w:r>
        <w:rPr>
          <w:rFonts w:ascii="Calibri" w:hAnsi="Calibri" w:cs="Calibri"/>
          <w:sz w:val="22"/>
          <w:szCs w:val="22"/>
        </w:rPr>
        <w:t>50</w:t>
      </w:r>
      <w:r w:rsidR="00943794">
        <w:rPr>
          <w:rFonts w:ascii="Calibri" w:hAnsi="Calibri" w:cs="Calibri"/>
          <w:sz w:val="22"/>
          <w:szCs w:val="22"/>
        </w:rPr>
        <w:t xml:space="preserve"> </w:t>
      </w:r>
      <w:r>
        <w:rPr>
          <w:rFonts w:ascii="Calibri" w:hAnsi="Calibri" w:cs="Calibri"/>
          <w:sz w:val="22"/>
          <w:szCs w:val="22"/>
        </w:rPr>
        <w:t>years</w:t>
      </w:r>
      <w:r w:rsidR="00211099">
        <w:rPr>
          <w:rFonts w:ascii="Calibri" w:hAnsi="Calibri" w:cs="Calibri"/>
          <w:sz w:val="22"/>
          <w:szCs w:val="22"/>
        </w:rPr>
        <w:t>—</w:t>
      </w:r>
      <w:r w:rsidR="0079213E">
        <w:rPr>
          <w:rFonts w:ascii="Calibri" w:hAnsi="Calibri" w:cs="Calibri"/>
          <w:sz w:val="22"/>
          <w:szCs w:val="22"/>
        </w:rPr>
        <w:t xml:space="preserve">SBM is not automatic based on the defendant’s conviction of an eligible offense. </w:t>
      </w:r>
      <w:r w:rsidR="0079213E" w:rsidRPr="00211099">
        <w:rPr>
          <w:rFonts w:ascii="Calibri" w:hAnsi="Calibri" w:cs="Calibri"/>
          <w:b/>
          <w:bCs/>
          <w:sz w:val="22"/>
          <w:szCs w:val="22"/>
        </w:rPr>
        <w:t xml:space="preserve">Rather, for both categories, the court must order DAC to complete a risk assessment within 60 </w:t>
      </w:r>
      <w:proofErr w:type="gramStart"/>
      <w:r w:rsidR="0079213E" w:rsidRPr="00211099">
        <w:rPr>
          <w:rFonts w:ascii="Calibri" w:hAnsi="Calibri" w:cs="Calibri"/>
          <w:b/>
          <w:bCs/>
          <w:sz w:val="22"/>
          <w:szCs w:val="22"/>
        </w:rPr>
        <w:t>days</w:t>
      </w:r>
      <w:r w:rsidR="00FE7D63" w:rsidRPr="00211099">
        <w:rPr>
          <w:rFonts w:ascii="Calibri" w:hAnsi="Calibri" w:cs="Calibri"/>
          <w:b/>
          <w:bCs/>
          <w:sz w:val="22"/>
          <w:szCs w:val="22"/>
        </w:rPr>
        <w:t xml:space="preserve">, </w:t>
      </w:r>
      <w:r w:rsidR="009F5F87" w:rsidRPr="00211099">
        <w:rPr>
          <w:rFonts w:ascii="Calibri" w:hAnsi="Calibri" w:cs="Calibri"/>
          <w:b/>
          <w:bCs/>
          <w:sz w:val="22"/>
          <w:szCs w:val="22"/>
        </w:rPr>
        <w:t>or</w:t>
      </w:r>
      <w:proofErr w:type="gramEnd"/>
      <w:r w:rsidR="009F5F87" w:rsidRPr="00211099">
        <w:rPr>
          <w:rFonts w:ascii="Calibri" w:hAnsi="Calibri" w:cs="Calibri"/>
          <w:b/>
          <w:bCs/>
          <w:sz w:val="22"/>
          <w:szCs w:val="22"/>
        </w:rPr>
        <w:t xml:space="preserve"> provide the court with a risk assessment that has already been completed within the last six months.</w:t>
      </w:r>
      <w:r w:rsidR="00FE7D63">
        <w:rPr>
          <w:rFonts w:ascii="Calibri" w:hAnsi="Calibri" w:cs="Calibri"/>
          <w:sz w:val="22"/>
          <w:szCs w:val="22"/>
        </w:rPr>
        <w:t xml:space="preserve"> </w:t>
      </w:r>
      <w:r w:rsidR="00211099">
        <w:rPr>
          <w:rFonts w:ascii="Calibri" w:hAnsi="Calibri" w:cs="Calibri"/>
          <w:sz w:val="22"/>
          <w:szCs w:val="22"/>
        </w:rPr>
        <w:t>U</w:t>
      </w:r>
      <w:r w:rsidR="0079213E" w:rsidRPr="007346C8">
        <w:rPr>
          <w:rFonts w:ascii="Calibri" w:hAnsi="Calibri" w:cs="Calibri"/>
          <w:sz w:val="22"/>
          <w:szCs w:val="22"/>
        </w:rPr>
        <w:t>nder the law as it existed until 2021, SBM was automatic for the lifetime categories</w:t>
      </w:r>
      <w:r w:rsidR="00941758" w:rsidRPr="007346C8">
        <w:rPr>
          <w:rFonts w:ascii="Calibri" w:hAnsi="Calibri" w:cs="Calibri"/>
          <w:sz w:val="22"/>
          <w:szCs w:val="22"/>
        </w:rPr>
        <w:t xml:space="preserve"> and conditional for the “abuse of a minor” category</w:t>
      </w:r>
      <w:r w:rsidR="0079213E" w:rsidRPr="007346C8">
        <w:rPr>
          <w:rFonts w:ascii="Calibri" w:hAnsi="Calibri" w:cs="Calibri"/>
          <w:sz w:val="22"/>
          <w:szCs w:val="22"/>
        </w:rPr>
        <w:t>.</w:t>
      </w:r>
      <w:r w:rsidR="0079213E" w:rsidRPr="00C52603">
        <w:rPr>
          <w:rFonts w:ascii="Calibri" w:hAnsi="Calibri" w:cs="Calibri"/>
          <w:b/>
          <w:bCs/>
          <w:sz w:val="22"/>
          <w:szCs w:val="22"/>
        </w:rPr>
        <w:t xml:space="preserve"> </w:t>
      </w:r>
      <w:r w:rsidR="00944C8A">
        <w:rPr>
          <w:rFonts w:ascii="Calibri" w:hAnsi="Calibri" w:cs="Calibri"/>
          <w:sz w:val="22"/>
          <w:szCs w:val="22"/>
        </w:rPr>
        <w:t>DAC uses the Static</w:t>
      </w:r>
      <w:r w:rsidR="0097337C">
        <w:rPr>
          <w:rFonts w:ascii="Calibri" w:hAnsi="Calibri" w:cs="Calibri"/>
          <w:sz w:val="22"/>
          <w:szCs w:val="22"/>
        </w:rPr>
        <w:t>-</w:t>
      </w:r>
      <w:r w:rsidR="00944C8A">
        <w:rPr>
          <w:rFonts w:ascii="Calibri" w:hAnsi="Calibri" w:cs="Calibri"/>
          <w:sz w:val="22"/>
          <w:szCs w:val="22"/>
        </w:rPr>
        <w:t>99 risk assessment for most adult male offenders</w:t>
      </w:r>
      <w:r w:rsidR="005B4760">
        <w:rPr>
          <w:rFonts w:ascii="Calibri" w:hAnsi="Calibri" w:cs="Calibri"/>
          <w:sz w:val="22"/>
          <w:szCs w:val="22"/>
        </w:rPr>
        <w:t xml:space="preserve"> over 18 years old</w:t>
      </w:r>
      <w:r w:rsidR="00944C8A">
        <w:rPr>
          <w:rFonts w:ascii="Calibri" w:hAnsi="Calibri" w:cs="Calibri"/>
          <w:sz w:val="22"/>
          <w:szCs w:val="22"/>
        </w:rPr>
        <w:t>. For women and younger men, it will use a modified version of the Offender Traits Inventory (OTI)—the risk assessment tool it uses for all probationers (not just sex offenders).</w:t>
      </w:r>
    </w:p>
    <w:p w14:paraId="4AF68B2B" w14:textId="77777777" w:rsidR="00FE7D63" w:rsidRDefault="00FE7D63" w:rsidP="00FE7D63">
      <w:pPr>
        <w:pStyle w:val="ListParagraph"/>
        <w:ind w:left="360"/>
        <w:rPr>
          <w:rFonts w:ascii="Calibri" w:hAnsi="Calibri" w:cs="Calibri"/>
          <w:sz w:val="22"/>
          <w:szCs w:val="22"/>
        </w:rPr>
      </w:pPr>
    </w:p>
    <w:p w14:paraId="61B75695" w14:textId="7513D68D" w:rsidR="00FE7D63" w:rsidRDefault="00944C8A" w:rsidP="00FE7D63">
      <w:pPr>
        <w:pStyle w:val="ListParagraph"/>
        <w:ind w:left="360"/>
        <w:rPr>
          <w:rFonts w:ascii="Calibri" w:hAnsi="Calibri" w:cs="Calibri"/>
          <w:sz w:val="22"/>
          <w:szCs w:val="22"/>
        </w:rPr>
      </w:pPr>
      <w:r>
        <w:rPr>
          <w:rFonts w:ascii="Calibri" w:hAnsi="Calibri" w:cs="Calibri"/>
          <w:sz w:val="22"/>
          <w:szCs w:val="22"/>
        </w:rPr>
        <w:t>Upon receipt of the risk assessment, the court must determine whether the defendant “requires the highest possible level of supervision and monitoring.</w:t>
      </w:r>
      <w:r w:rsidR="00820B39">
        <w:rPr>
          <w:rFonts w:ascii="Calibri" w:hAnsi="Calibri" w:cs="Calibri"/>
          <w:sz w:val="22"/>
          <w:szCs w:val="22"/>
        </w:rPr>
        <w:t>”</w:t>
      </w:r>
    </w:p>
    <w:p w14:paraId="360CBE69" w14:textId="77777777" w:rsidR="0022414C" w:rsidRDefault="0022414C" w:rsidP="00FE7D63">
      <w:pPr>
        <w:pStyle w:val="ListParagraph"/>
        <w:ind w:left="360"/>
        <w:rPr>
          <w:rFonts w:ascii="Calibri" w:hAnsi="Calibri" w:cs="Calibri"/>
          <w:sz w:val="22"/>
          <w:szCs w:val="22"/>
        </w:rPr>
      </w:pPr>
    </w:p>
    <w:p w14:paraId="4BE5F0A2" w14:textId="16E7FE94" w:rsidR="0022414C" w:rsidRDefault="0022414C" w:rsidP="00FE7D63">
      <w:pPr>
        <w:pStyle w:val="ListParagraph"/>
        <w:ind w:left="360"/>
        <w:rPr>
          <w:rFonts w:ascii="Calibri" w:hAnsi="Calibri" w:cs="Calibri"/>
          <w:sz w:val="22"/>
          <w:szCs w:val="22"/>
        </w:rPr>
      </w:pPr>
      <w:r>
        <w:rPr>
          <w:rFonts w:ascii="Calibri" w:hAnsi="Calibri" w:cs="Calibri"/>
          <w:sz w:val="22"/>
          <w:szCs w:val="22"/>
        </w:rPr>
        <w:t>If the Static</w:t>
      </w:r>
      <w:r w:rsidR="0097337C">
        <w:rPr>
          <w:rFonts w:ascii="Calibri" w:hAnsi="Calibri" w:cs="Calibri"/>
          <w:sz w:val="22"/>
          <w:szCs w:val="22"/>
        </w:rPr>
        <w:t>-</w:t>
      </w:r>
      <w:r w:rsidR="001217A1">
        <w:rPr>
          <w:rFonts w:ascii="Calibri" w:hAnsi="Calibri" w:cs="Calibri"/>
          <w:sz w:val="22"/>
          <w:szCs w:val="22"/>
        </w:rPr>
        <w:t xml:space="preserve">99 risk level is </w:t>
      </w:r>
      <w:r w:rsidR="00FC2F39">
        <w:rPr>
          <w:rFonts w:ascii="Calibri" w:hAnsi="Calibri" w:cs="Calibri"/>
          <w:sz w:val="22"/>
          <w:szCs w:val="22"/>
        </w:rPr>
        <w:t xml:space="preserve">High, </w:t>
      </w:r>
      <w:r w:rsidR="00A1754C">
        <w:rPr>
          <w:rFonts w:ascii="Calibri" w:hAnsi="Calibri" w:cs="Calibri"/>
          <w:sz w:val="22"/>
          <w:szCs w:val="22"/>
        </w:rPr>
        <w:t>then the offender may be deemed based on that alone to require the highest possible level of supervision and monitoring.</w:t>
      </w:r>
      <w:r w:rsidR="009C1158">
        <w:rPr>
          <w:rFonts w:ascii="Calibri" w:hAnsi="Calibri" w:cs="Calibri"/>
          <w:sz w:val="22"/>
          <w:szCs w:val="22"/>
        </w:rPr>
        <w:t xml:space="preserve"> If the results are less than high (e.g., “moderate”), the offender may not be said based on that alone to require the highest possible level of supervision and monitoring. State v. Kilby, 198 N.C. App. 363 (2009).</w:t>
      </w:r>
    </w:p>
    <w:p w14:paraId="33EEE162" w14:textId="77777777" w:rsidR="009C1158" w:rsidRDefault="009C1158" w:rsidP="00FE7D63">
      <w:pPr>
        <w:pStyle w:val="ListParagraph"/>
        <w:ind w:left="360"/>
        <w:rPr>
          <w:rFonts w:ascii="Calibri" w:hAnsi="Calibri" w:cs="Calibri"/>
          <w:sz w:val="22"/>
          <w:szCs w:val="22"/>
        </w:rPr>
      </w:pPr>
    </w:p>
    <w:p w14:paraId="0962CE48" w14:textId="3C4FD2B9" w:rsidR="009C1158" w:rsidRDefault="007346C8" w:rsidP="00FE7D63">
      <w:pPr>
        <w:pStyle w:val="ListParagraph"/>
        <w:ind w:left="360"/>
        <w:rPr>
          <w:rFonts w:ascii="Calibri" w:hAnsi="Calibri" w:cs="Calibri"/>
          <w:sz w:val="22"/>
          <w:szCs w:val="22"/>
        </w:rPr>
      </w:pPr>
      <w:r>
        <w:rPr>
          <w:rFonts w:ascii="Calibri" w:hAnsi="Calibri" w:cs="Calibri"/>
          <w:sz w:val="22"/>
          <w:szCs w:val="22"/>
        </w:rPr>
        <w:t>Regardless of the risk assessment score</w:t>
      </w:r>
      <w:r w:rsidR="009C1158">
        <w:rPr>
          <w:rFonts w:ascii="Calibri" w:hAnsi="Calibri" w:cs="Calibri"/>
          <w:sz w:val="22"/>
          <w:szCs w:val="22"/>
        </w:rPr>
        <w:t xml:space="preserve">, the court may make other findings of fact </w:t>
      </w:r>
      <w:r>
        <w:rPr>
          <w:rFonts w:ascii="Calibri" w:hAnsi="Calibri" w:cs="Calibri"/>
          <w:sz w:val="22"/>
          <w:szCs w:val="22"/>
        </w:rPr>
        <w:t xml:space="preserve">in </w:t>
      </w:r>
      <w:r w:rsidR="0013460A">
        <w:rPr>
          <w:rFonts w:ascii="Calibri" w:hAnsi="Calibri" w:cs="Calibri"/>
          <w:sz w:val="22"/>
          <w:szCs w:val="22"/>
        </w:rPr>
        <w:t>support its conclusion that the defendant requires SBM. The general rule is that those findings must</w:t>
      </w:r>
      <w:r w:rsidR="00842A3B">
        <w:rPr>
          <w:rFonts w:ascii="Calibri" w:hAnsi="Calibri" w:cs="Calibri"/>
          <w:sz w:val="22"/>
          <w:szCs w:val="22"/>
        </w:rPr>
        <w:t xml:space="preserve"> concern facts that are not already included within the Static</w:t>
      </w:r>
      <w:r w:rsidR="0097337C">
        <w:rPr>
          <w:rFonts w:ascii="Calibri" w:hAnsi="Calibri" w:cs="Calibri"/>
          <w:sz w:val="22"/>
          <w:szCs w:val="22"/>
        </w:rPr>
        <w:t>-</w:t>
      </w:r>
      <w:r w:rsidR="00842A3B">
        <w:rPr>
          <w:rFonts w:ascii="Calibri" w:hAnsi="Calibri" w:cs="Calibri"/>
          <w:sz w:val="22"/>
          <w:szCs w:val="22"/>
        </w:rPr>
        <w:t>99 risk score itself.</w:t>
      </w:r>
      <w:r>
        <w:rPr>
          <w:rFonts w:ascii="Calibri" w:hAnsi="Calibri" w:cs="Calibri"/>
          <w:sz w:val="22"/>
          <w:szCs w:val="22"/>
        </w:rPr>
        <w:t xml:space="preserve"> </w:t>
      </w:r>
    </w:p>
    <w:p w14:paraId="24A99846" w14:textId="77777777" w:rsidR="00842A3B" w:rsidRDefault="00842A3B" w:rsidP="00FE7D63">
      <w:pPr>
        <w:pStyle w:val="ListParagraph"/>
        <w:ind w:left="360"/>
        <w:rPr>
          <w:rFonts w:ascii="Calibri" w:hAnsi="Calibri" w:cs="Calibri"/>
          <w:sz w:val="22"/>
          <w:szCs w:val="22"/>
        </w:rPr>
      </w:pPr>
    </w:p>
    <w:p w14:paraId="6BB61B58" w14:textId="50E3DDA6" w:rsidR="005E1BA1" w:rsidRPr="008557BF" w:rsidRDefault="005E1BA1" w:rsidP="00FE7D63">
      <w:pPr>
        <w:pStyle w:val="ListParagraph"/>
        <w:ind w:left="360"/>
        <w:rPr>
          <w:rFonts w:ascii="Calibri" w:hAnsi="Calibri" w:cs="Calibri"/>
          <w:b/>
          <w:bCs/>
          <w:sz w:val="22"/>
          <w:szCs w:val="22"/>
        </w:rPr>
      </w:pPr>
      <w:r w:rsidRPr="008557BF">
        <w:rPr>
          <w:rFonts w:ascii="Calibri" w:hAnsi="Calibri" w:cs="Calibri"/>
          <w:b/>
          <w:bCs/>
          <w:sz w:val="22"/>
          <w:szCs w:val="22"/>
        </w:rPr>
        <w:tab/>
        <w:t>PERMISSIBLE FINDINGS</w:t>
      </w:r>
    </w:p>
    <w:p w14:paraId="197FC82D" w14:textId="61C85E26" w:rsidR="005E1BA1" w:rsidRDefault="005E1BA1" w:rsidP="005E1BA1">
      <w:pPr>
        <w:pStyle w:val="ListParagraph"/>
        <w:numPr>
          <w:ilvl w:val="0"/>
          <w:numId w:val="4"/>
        </w:numPr>
        <w:rPr>
          <w:rFonts w:ascii="Calibri" w:hAnsi="Calibri" w:cs="Calibri"/>
          <w:sz w:val="22"/>
          <w:szCs w:val="22"/>
        </w:rPr>
      </w:pPr>
      <w:r>
        <w:rPr>
          <w:rFonts w:ascii="Calibri" w:hAnsi="Calibri" w:cs="Calibri"/>
          <w:sz w:val="22"/>
          <w:szCs w:val="22"/>
        </w:rPr>
        <w:t xml:space="preserve">Victim is very young. State v. </w:t>
      </w:r>
      <w:r w:rsidR="00AE56FD">
        <w:rPr>
          <w:rFonts w:ascii="Calibri" w:hAnsi="Calibri" w:cs="Calibri"/>
          <w:sz w:val="22"/>
          <w:szCs w:val="22"/>
        </w:rPr>
        <w:t>Green, 211 N.C. App. 599 (2011).</w:t>
      </w:r>
    </w:p>
    <w:p w14:paraId="2226CBC4" w14:textId="5B44C2C1" w:rsidR="005E1BA1" w:rsidRPr="00BE6452" w:rsidRDefault="005E1BA1" w:rsidP="005E1BA1">
      <w:pPr>
        <w:pStyle w:val="ListParagraph"/>
        <w:numPr>
          <w:ilvl w:val="0"/>
          <w:numId w:val="4"/>
        </w:numPr>
        <w:rPr>
          <w:rFonts w:ascii="Calibri" w:hAnsi="Calibri" w:cs="Calibri"/>
          <w:sz w:val="22"/>
          <w:szCs w:val="22"/>
        </w:rPr>
      </w:pPr>
      <w:r>
        <w:rPr>
          <w:rFonts w:ascii="Calibri" w:hAnsi="Calibri" w:cs="Calibri"/>
          <w:sz w:val="22"/>
          <w:szCs w:val="22"/>
        </w:rPr>
        <w:t>Defendant failed to complete treatment while on probation.</w:t>
      </w:r>
      <w:r w:rsidR="00AE56FD">
        <w:rPr>
          <w:rFonts w:ascii="Calibri" w:hAnsi="Calibri" w:cs="Calibri"/>
          <w:sz w:val="22"/>
          <w:szCs w:val="22"/>
        </w:rPr>
        <w:t xml:space="preserve"> </w:t>
      </w:r>
      <w:r w:rsidR="00AE56FD">
        <w:rPr>
          <w:rFonts w:ascii="Calibri" w:hAnsi="Calibri" w:cs="Calibri"/>
          <w:i/>
          <w:iCs/>
          <w:sz w:val="22"/>
          <w:szCs w:val="22"/>
        </w:rPr>
        <w:t>Id.</w:t>
      </w:r>
    </w:p>
    <w:p w14:paraId="7AFCC284" w14:textId="4BDA1578" w:rsidR="00BE6452" w:rsidRPr="00AE56FD" w:rsidRDefault="00BA5B86" w:rsidP="005E1BA1">
      <w:pPr>
        <w:pStyle w:val="ListParagraph"/>
        <w:numPr>
          <w:ilvl w:val="0"/>
          <w:numId w:val="4"/>
        </w:numPr>
        <w:rPr>
          <w:rFonts w:ascii="Calibri" w:hAnsi="Calibri" w:cs="Calibri"/>
          <w:sz w:val="22"/>
          <w:szCs w:val="22"/>
        </w:rPr>
      </w:pPr>
      <w:r>
        <w:rPr>
          <w:rFonts w:ascii="Calibri" w:hAnsi="Calibri" w:cs="Calibri"/>
          <w:sz w:val="22"/>
          <w:szCs w:val="22"/>
        </w:rPr>
        <w:t xml:space="preserve">Defendant </w:t>
      </w:r>
      <w:r w:rsidR="00C36DA3">
        <w:rPr>
          <w:rFonts w:ascii="Calibri" w:hAnsi="Calibri" w:cs="Calibri"/>
          <w:sz w:val="22"/>
          <w:szCs w:val="22"/>
        </w:rPr>
        <w:t xml:space="preserve">in </w:t>
      </w:r>
      <w:r>
        <w:rPr>
          <w:rFonts w:ascii="Calibri" w:hAnsi="Calibri" w:cs="Calibri"/>
          <w:sz w:val="22"/>
          <w:szCs w:val="22"/>
        </w:rPr>
        <w:t>position of trust; vulnerable</w:t>
      </w:r>
      <w:r w:rsidR="007B684B">
        <w:rPr>
          <w:rFonts w:ascii="Calibri" w:hAnsi="Calibri" w:cs="Calibri"/>
          <w:sz w:val="22"/>
          <w:szCs w:val="22"/>
        </w:rPr>
        <w:t xml:space="preserve"> victim</w:t>
      </w:r>
      <w:r>
        <w:rPr>
          <w:rFonts w:ascii="Calibri" w:hAnsi="Calibri" w:cs="Calibri"/>
          <w:sz w:val="22"/>
          <w:szCs w:val="22"/>
        </w:rPr>
        <w:t>. State v. Jarvis, 214 N.C. App. 84 (2011).</w:t>
      </w:r>
    </w:p>
    <w:p w14:paraId="56DDC4CB" w14:textId="7F0E1C66" w:rsidR="00AE56FD" w:rsidRDefault="00AE56FD" w:rsidP="005E1BA1">
      <w:pPr>
        <w:pStyle w:val="ListParagraph"/>
        <w:numPr>
          <w:ilvl w:val="0"/>
          <w:numId w:val="4"/>
        </w:numPr>
        <w:rPr>
          <w:rFonts w:ascii="Calibri" w:hAnsi="Calibri" w:cs="Calibri"/>
          <w:sz w:val="22"/>
          <w:szCs w:val="22"/>
        </w:rPr>
      </w:pPr>
      <w:r>
        <w:rPr>
          <w:rFonts w:ascii="Calibri" w:hAnsi="Calibri" w:cs="Calibri"/>
          <w:sz w:val="22"/>
          <w:szCs w:val="22"/>
        </w:rPr>
        <w:t xml:space="preserve">Crimes of escalating aggressiveness. State v. </w:t>
      </w:r>
      <w:r w:rsidR="00471180">
        <w:rPr>
          <w:rFonts w:ascii="Calibri" w:hAnsi="Calibri" w:cs="Calibri"/>
          <w:sz w:val="22"/>
          <w:szCs w:val="22"/>
        </w:rPr>
        <w:t xml:space="preserve">Smith, </w:t>
      </w:r>
      <w:r w:rsidR="0009353D">
        <w:rPr>
          <w:rFonts w:ascii="Calibri" w:hAnsi="Calibri" w:cs="Calibri"/>
          <w:sz w:val="22"/>
          <w:szCs w:val="22"/>
        </w:rPr>
        <w:t>240 N.C. App. 73 (2015).</w:t>
      </w:r>
    </w:p>
    <w:p w14:paraId="3888B000" w14:textId="24BDFA24" w:rsidR="0009353D" w:rsidRDefault="0009353D" w:rsidP="005E1BA1">
      <w:pPr>
        <w:pStyle w:val="ListParagraph"/>
        <w:numPr>
          <w:ilvl w:val="0"/>
          <w:numId w:val="4"/>
        </w:numPr>
        <w:rPr>
          <w:rFonts w:ascii="Calibri" w:hAnsi="Calibri" w:cs="Calibri"/>
          <w:sz w:val="22"/>
          <w:szCs w:val="22"/>
        </w:rPr>
      </w:pPr>
      <w:r>
        <w:rPr>
          <w:rFonts w:ascii="Calibri" w:hAnsi="Calibri" w:cs="Calibri"/>
          <w:sz w:val="22"/>
          <w:szCs w:val="22"/>
        </w:rPr>
        <w:t>Many prior probation violations. State v. King, 204 N.C. App. 198 (2010).</w:t>
      </w:r>
    </w:p>
    <w:p w14:paraId="72DFB440" w14:textId="030A11C3" w:rsidR="00EC2B5E" w:rsidRDefault="00EC2B5E" w:rsidP="005E1BA1">
      <w:pPr>
        <w:pStyle w:val="ListParagraph"/>
        <w:numPr>
          <w:ilvl w:val="0"/>
          <w:numId w:val="4"/>
        </w:numPr>
        <w:rPr>
          <w:rFonts w:ascii="Calibri" w:hAnsi="Calibri" w:cs="Calibri"/>
          <w:sz w:val="22"/>
          <w:szCs w:val="22"/>
        </w:rPr>
      </w:pPr>
      <w:r>
        <w:rPr>
          <w:rFonts w:ascii="Calibri" w:hAnsi="Calibri" w:cs="Calibri"/>
          <w:sz w:val="22"/>
          <w:szCs w:val="22"/>
        </w:rPr>
        <w:t xml:space="preserve">Difficulty locating defendant; homelessness. State v. Belfield, </w:t>
      </w:r>
      <w:r w:rsidR="0046082E">
        <w:rPr>
          <w:rFonts w:ascii="Calibri" w:hAnsi="Calibri" w:cs="Calibri"/>
          <w:sz w:val="22"/>
          <w:szCs w:val="22"/>
        </w:rPr>
        <w:t>297</w:t>
      </w:r>
      <w:r>
        <w:rPr>
          <w:rFonts w:ascii="Calibri" w:hAnsi="Calibri" w:cs="Calibri"/>
          <w:sz w:val="22"/>
          <w:szCs w:val="22"/>
        </w:rPr>
        <w:t xml:space="preserve"> N.C. App. </w:t>
      </w:r>
      <w:r w:rsidR="0046082E">
        <w:rPr>
          <w:rFonts w:ascii="Calibri" w:hAnsi="Calibri" w:cs="Calibri"/>
          <w:sz w:val="22"/>
          <w:szCs w:val="22"/>
        </w:rPr>
        <w:t>817</w:t>
      </w:r>
      <w:r>
        <w:rPr>
          <w:rFonts w:ascii="Calibri" w:hAnsi="Calibri" w:cs="Calibri"/>
          <w:sz w:val="22"/>
          <w:szCs w:val="22"/>
        </w:rPr>
        <w:t xml:space="preserve"> (2025).</w:t>
      </w:r>
    </w:p>
    <w:p w14:paraId="306C0003" w14:textId="77777777" w:rsidR="005E1BA1" w:rsidRDefault="005E1BA1" w:rsidP="00FE7D63">
      <w:pPr>
        <w:pStyle w:val="ListParagraph"/>
        <w:ind w:left="360"/>
        <w:rPr>
          <w:rFonts w:ascii="Calibri" w:hAnsi="Calibri" w:cs="Calibri"/>
          <w:sz w:val="22"/>
          <w:szCs w:val="22"/>
        </w:rPr>
      </w:pPr>
    </w:p>
    <w:p w14:paraId="285B60AC" w14:textId="43B31779" w:rsidR="005E1BA1" w:rsidRPr="008557BF" w:rsidRDefault="005E1BA1" w:rsidP="00FE7D63">
      <w:pPr>
        <w:pStyle w:val="ListParagraph"/>
        <w:ind w:left="360"/>
        <w:rPr>
          <w:rFonts w:ascii="Calibri" w:hAnsi="Calibri" w:cs="Calibri"/>
          <w:b/>
          <w:bCs/>
          <w:sz w:val="22"/>
          <w:szCs w:val="22"/>
        </w:rPr>
      </w:pPr>
      <w:r w:rsidRPr="008557BF">
        <w:rPr>
          <w:rFonts w:ascii="Calibri" w:hAnsi="Calibri" w:cs="Calibri"/>
          <w:b/>
          <w:bCs/>
          <w:sz w:val="22"/>
          <w:szCs w:val="22"/>
        </w:rPr>
        <w:tab/>
        <w:t>IMPERMISSIBLE FINDINGS</w:t>
      </w:r>
    </w:p>
    <w:p w14:paraId="4E9A2A39" w14:textId="2EF97884" w:rsidR="00842A3B" w:rsidRDefault="00EC2B5E" w:rsidP="00EC2B5E">
      <w:pPr>
        <w:pStyle w:val="ListParagraph"/>
        <w:numPr>
          <w:ilvl w:val="0"/>
          <w:numId w:val="4"/>
        </w:numPr>
        <w:rPr>
          <w:rFonts w:ascii="Calibri" w:hAnsi="Calibri" w:cs="Calibri"/>
          <w:sz w:val="22"/>
          <w:szCs w:val="22"/>
        </w:rPr>
      </w:pPr>
      <w:r>
        <w:rPr>
          <w:rFonts w:ascii="Calibri" w:hAnsi="Calibri" w:cs="Calibri"/>
          <w:sz w:val="22"/>
          <w:szCs w:val="22"/>
        </w:rPr>
        <w:t>Prior crimes</w:t>
      </w:r>
      <w:r w:rsidR="003D4085">
        <w:rPr>
          <w:rFonts w:ascii="Calibri" w:hAnsi="Calibri" w:cs="Calibri"/>
          <w:sz w:val="22"/>
          <w:szCs w:val="22"/>
        </w:rPr>
        <w:t xml:space="preserve"> already incorporated into Static-99</w:t>
      </w:r>
      <w:r>
        <w:rPr>
          <w:rFonts w:ascii="Calibri" w:hAnsi="Calibri" w:cs="Calibri"/>
          <w:sz w:val="22"/>
          <w:szCs w:val="22"/>
        </w:rPr>
        <w:t>. State v. Thomas, 225 N.C. App. 631 (2013)</w:t>
      </w:r>
      <w:r w:rsidR="00D94DD0">
        <w:rPr>
          <w:rFonts w:ascii="Calibri" w:hAnsi="Calibri" w:cs="Calibri"/>
          <w:sz w:val="22"/>
          <w:szCs w:val="22"/>
        </w:rPr>
        <w:t>.</w:t>
      </w:r>
    </w:p>
    <w:p w14:paraId="0CFAD7EC" w14:textId="746868BD" w:rsidR="00D94DD0" w:rsidRDefault="00D94DD0" w:rsidP="00EC2B5E">
      <w:pPr>
        <w:pStyle w:val="ListParagraph"/>
        <w:numPr>
          <w:ilvl w:val="0"/>
          <w:numId w:val="4"/>
        </w:numPr>
        <w:rPr>
          <w:rFonts w:ascii="Calibri" w:hAnsi="Calibri" w:cs="Calibri"/>
          <w:sz w:val="22"/>
          <w:szCs w:val="22"/>
        </w:rPr>
      </w:pPr>
      <w:r>
        <w:rPr>
          <w:rFonts w:ascii="Calibri" w:hAnsi="Calibri" w:cs="Calibri"/>
          <w:sz w:val="22"/>
          <w:szCs w:val="22"/>
        </w:rPr>
        <w:t xml:space="preserve">Prior dismissed charges. </w:t>
      </w:r>
      <w:r w:rsidRPr="00D94DD0">
        <w:rPr>
          <w:rFonts w:ascii="Calibri" w:hAnsi="Calibri" w:cs="Calibri"/>
          <w:i/>
          <w:iCs/>
          <w:sz w:val="22"/>
          <w:szCs w:val="22"/>
        </w:rPr>
        <w:t>Smith</w:t>
      </w:r>
      <w:r>
        <w:rPr>
          <w:rFonts w:ascii="Calibri" w:hAnsi="Calibri" w:cs="Calibri"/>
          <w:sz w:val="22"/>
          <w:szCs w:val="22"/>
        </w:rPr>
        <w:t>, 240 N.C. App. 73.</w:t>
      </w:r>
    </w:p>
    <w:p w14:paraId="3BCEE4BF" w14:textId="4D981109" w:rsidR="00EC2B5E" w:rsidRDefault="00ED4BE3" w:rsidP="00EC2B5E">
      <w:pPr>
        <w:pStyle w:val="ListParagraph"/>
        <w:numPr>
          <w:ilvl w:val="0"/>
          <w:numId w:val="4"/>
        </w:numPr>
        <w:rPr>
          <w:rFonts w:ascii="Calibri" w:hAnsi="Calibri" w:cs="Calibri"/>
          <w:sz w:val="22"/>
          <w:szCs w:val="22"/>
        </w:rPr>
      </w:pPr>
      <w:r>
        <w:rPr>
          <w:rFonts w:ascii="Calibri" w:hAnsi="Calibri" w:cs="Calibri"/>
          <w:sz w:val="22"/>
          <w:szCs w:val="22"/>
        </w:rPr>
        <w:t xml:space="preserve">Any </w:t>
      </w:r>
      <w:r w:rsidR="00EB5ACF">
        <w:rPr>
          <w:rFonts w:ascii="Calibri" w:hAnsi="Calibri" w:cs="Calibri"/>
          <w:sz w:val="22"/>
          <w:szCs w:val="22"/>
        </w:rPr>
        <w:t>fact already factored into the SBM risk score.</w:t>
      </w:r>
    </w:p>
    <w:p w14:paraId="7A30DE6A" w14:textId="77777777" w:rsidR="00EC2B5E" w:rsidRPr="009C1158" w:rsidRDefault="00EC2B5E" w:rsidP="00EC2B5E">
      <w:pPr>
        <w:pStyle w:val="ListParagraph"/>
        <w:ind w:left="1080"/>
        <w:rPr>
          <w:rFonts w:ascii="Calibri" w:hAnsi="Calibri" w:cs="Calibri"/>
          <w:sz w:val="22"/>
          <w:szCs w:val="22"/>
        </w:rPr>
      </w:pPr>
    </w:p>
    <w:p w14:paraId="2E3672F5" w14:textId="040DC64F" w:rsidR="007D6985" w:rsidRDefault="007200FF" w:rsidP="007200FF">
      <w:pPr>
        <w:rPr>
          <w:rFonts w:ascii="Calibri" w:hAnsi="Calibri" w:cs="Calibri"/>
          <w:b/>
          <w:bCs/>
          <w:sz w:val="22"/>
          <w:szCs w:val="22"/>
        </w:rPr>
      </w:pPr>
      <w:r>
        <w:rPr>
          <w:rFonts w:ascii="Calibri" w:hAnsi="Calibri" w:cs="Calibri"/>
          <w:b/>
          <w:bCs/>
          <w:sz w:val="22"/>
          <w:szCs w:val="22"/>
        </w:rPr>
        <w:t xml:space="preserve">Step 3: </w:t>
      </w:r>
      <w:r w:rsidR="007D6985" w:rsidRPr="007200FF">
        <w:rPr>
          <w:rFonts w:ascii="Calibri" w:hAnsi="Calibri" w:cs="Calibri"/>
          <w:b/>
          <w:bCs/>
          <w:sz w:val="22"/>
          <w:szCs w:val="22"/>
        </w:rPr>
        <w:t xml:space="preserve">Is SBM a </w:t>
      </w:r>
      <w:r w:rsidR="00A72EE4" w:rsidRPr="007200FF">
        <w:rPr>
          <w:rFonts w:ascii="Calibri" w:hAnsi="Calibri" w:cs="Calibri"/>
          <w:b/>
          <w:bCs/>
          <w:sz w:val="22"/>
          <w:szCs w:val="22"/>
        </w:rPr>
        <w:t xml:space="preserve">constitutionally </w:t>
      </w:r>
      <w:r w:rsidR="007D6985" w:rsidRPr="007200FF">
        <w:rPr>
          <w:rFonts w:ascii="Calibri" w:hAnsi="Calibri" w:cs="Calibri"/>
          <w:b/>
          <w:bCs/>
          <w:sz w:val="22"/>
          <w:szCs w:val="22"/>
        </w:rPr>
        <w:t xml:space="preserve">reasonable search of the defendant? </w:t>
      </w:r>
    </w:p>
    <w:p w14:paraId="032F2591" w14:textId="77777777" w:rsidR="008557BF" w:rsidRPr="007200FF" w:rsidRDefault="008557BF" w:rsidP="007200FF">
      <w:pPr>
        <w:rPr>
          <w:rFonts w:ascii="Calibri" w:hAnsi="Calibri" w:cs="Calibri"/>
          <w:b/>
          <w:bCs/>
          <w:sz w:val="22"/>
          <w:szCs w:val="22"/>
        </w:rPr>
      </w:pPr>
    </w:p>
    <w:p w14:paraId="5EC7BAD9" w14:textId="70D28C26" w:rsidR="00B20853" w:rsidRPr="00F3572D" w:rsidRDefault="00A17246" w:rsidP="00F3572D">
      <w:pPr>
        <w:pStyle w:val="ListParagraph"/>
        <w:ind w:left="360"/>
        <w:rPr>
          <w:rFonts w:ascii="Calibri" w:hAnsi="Calibri" w:cs="Calibri"/>
          <w:sz w:val="22"/>
          <w:szCs w:val="22"/>
        </w:rPr>
      </w:pPr>
      <w:r w:rsidRPr="00A17246">
        <w:rPr>
          <w:rFonts w:ascii="Calibri" w:hAnsi="Calibri" w:cs="Calibri"/>
          <w:sz w:val="22"/>
          <w:szCs w:val="22"/>
        </w:rPr>
        <w:t xml:space="preserve">The Supreme Court of the United States </w:t>
      </w:r>
      <w:r w:rsidR="002621FF">
        <w:rPr>
          <w:rFonts w:ascii="Calibri" w:hAnsi="Calibri" w:cs="Calibri"/>
          <w:sz w:val="22"/>
          <w:szCs w:val="22"/>
        </w:rPr>
        <w:t xml:space="preserve">held </w:t>
      </w:r>
      <w:r w:rsidRPr="00A17246">
        <w:rPr>
          <w:rFonts w:ascii="Calibri" w:hAnsi="Calibri" w:cs="Calibri"/>
          <w:sz w:val="22"/>
          <w:szCs w:val="22"/>
        </w:rPr>
        <w:t>in </w:t>
      </w:r>
      <w:r w:rsidRPr="00A17246">
        <w:rPr>
          <w:rFonts w:ascii="Calibri" w:hAnsi="Calibri" w:cs="Calibri"/>
          <w:i/>
          <w:iCs/>
          <w:sz w:val="22"/>
          <w:szCs w:val="22"/>
        </w:rPr>
        <w:t>Grady v. North Carolina</w:t>
      </w:r>
      <w:r w:rsidRPr="00A17246">
        <w:rPr>
          <w:rFonts w:ascii="Calibri" w:hAnsi="Calibri" w:cs="Calibri"/>
          <w:sz w:val="22"/>
          <w:szCs w:val="22"/>
        </w:rPr>
        <w:t>, 575 U.S. 306 (2015), that</w:t>
      </w:r>
      <w:r w:rsidR="00FF1E30">
        <w:rPr>
          <w:rFonts w:ascii="Calibri" w:hAnsi="Calibri" w:cs="Calibri"/>
          <w:sz w:val="22"/>
          <w:szCs w:val="22"/>
        </w:rPr>
        <w:t xml:space="preserve"> </w:t>
      </w:r>
      <w:r w:rsidRPr="00FF1E30">
        <w:rPr>
          <w:rFonts w:ascii="Calibri" w:hAnsi="Calibri" w:cs="Calibri"/>
          <w:sz w:val="22"/>
          <w:szCs w:val="22"/>
        </w:rPr>
        <w:t xml:space="preserve">SBM </w:t>
      </w:r>
      <w:r w:rsidR="002621FF" w:rsidRPr="00FF1E30">
        <w:rPr>
          <w:rFonts w:ascii="Calibri" w:hAnsi="Calibri" w:cs="Calibri"/>
          <w:sz w:val="22"/>
          <w:szCs w:val="22"/>
        </w:rPr>
        <w:t xml:space="preserve">is </w:t>
      </w:r>
      <w:r w:rsidRPr="00FF1E30">
        <w:rPr>
          <w:rFonts w:ascii="Calibri" w:hAnsi="Calibri" w:cs="Calibri"/>
          <w:sz w:val="22"/>
          <w:szCs w:val="22"/>
        </w:rPr>
        <w:t xml:space="preserve">a search, </w:t>
      </w:r>
      <w:r w:rsidR="002621FF" w:rsidRPr="00FF1E30">
        <w:rPr>
          <w:rFonts w:ascii="Calibri" w:hAnsi="Calibri" w:cs="Calibri"/>
          <w:sz w:val="22"/>
          <w:szCs w:val="22"/>
        </w:rPr>
        <w:t>the reasonable</w:t>
      </w:r>
      <w:r w:rsidR="00FF1E30">
        <w:rPr>
          <w:rFonts w:ascii="Calibri" w:hAnsi="Calibri" w:cs="Calibri"/>
          <w:sz w:val="22"/>
          <w:szCs w:val="22"/>
        </w:rPr>
        <w:t xml:space="preserve">ness of which must be </w:t>
      </w:r>
      <w:r w:rsidR="00F3572D">
        <w:rPr>
          <w:rFonts w:ascii="Calibri" w:hAnsi="Calibri" w:cs="Calibri"/>
          <w:sz w:val="22"/>
          <w:szCs w:val="22"/>
        </w:rPr>
        <w:t xml:space="preserve">evaluated under the Fourth Amendment by </w:t>
      </w:r>
      <w:r w:rsidR="00605A36" w:rsidRPr="00F3572D">
        <w:rPr>
          <w:rFonts w:ascii="Calibri" w:hAnsi="Calibri" w:cs="Calibri"/>
          <w:sz w:val="22"/>
          <w:szCs w:val="22"/>
        </w:rPr>
        <w:t>considering the totality of the circumstances</w:t>
      </w:r>
      <w:r w:rsidR="00F3572D">
        <w:rPr>
          <w:rFonts w:ascii="Calibri" w:hAnsi="Calibri" w:cs="Calibri"/>
          <w:sz w:val="22"/>
          <w:szCs w:val="22"/>
        </w:rPr>
        <w:t xml:space="preserve">, </w:t>
      </w:r>
      <w:r w:rsidR="00513129" w:rsidRPr="00F3572D">
        <w:rPr>
          <w:rFonts w:ascii="Calibri" w:hAnsi="Calibri" w:cs="Calibri"/>
          <w:sz w:val="22"/>
          <w:szCs w:val="22"/>
        </w:rPr>
        <w:t xml:space="preserve">weighing </w:t>
      </w:r>
      <w:r w:rsidR="00B20853" w:rsidRPr="00F3572D">
        <w:rPr>
          <w:rFonts w:ascii="Calibri" w:hAnsi="Calibri" w:cs="Calibri"/>
          <w:sz w:val="22"/>
          <w:szCs w:val="22"/>
        </w:rPr>
        <w:t>(1) the legitimacy of the State</w:t>
      </w:r>
      <w:r w:rsidR="00F3572D">
        <w:rPr>
          <w:rFonts w:ascii="Calibri" w:hAnsi="Calibri" w:cs="Calibri"/>
          <w:sz w:val="22"/>
          <w:szCs w:val="22"/>
        </w:rPr>
        <w:t>’</w:t>
      </w:r>
      <w:r w:rsidR="00B20853" w:rsidRPr="00F3572D">
        <w:rPr>
          <w:rFonts w:ascii="Calibri" w:hAnsi="Calibri" w:cs="Calibri"/>
          <w:sz w:val="22"/>
          <w:szCs w:val="22"/>
        </w:rPr>
        <w:t xml:space="preserve">s interest; (2) </w:t>
      </w:r>
      <w:r w:rsidR="00B20853" w:rsidRPr="00F3572D">
        <w:rPr>
          <w:rFonts w:ascii="Calibri" w:hAnsi="Calibri" w:cs="Calibri"/>
          <w:sz w:val="22"/>
          <w:szCs w:val="22"/>
        </w:rPr>
        <w:lastRenderedPageBreak/>
        <w:t>the scope of the Defendant's privacy interests; and (3) the intrusion imposed by SBM. State v. Griffin, 286 N.C. App. 94 (2022)</w:t>
      </w:r>
      <w:r w:rsidR="00F7335E" w:rsidRPr="00F3572D">
        <w:rPr>
          <w:rFonts w:ascii="Calibri" w:hAnsi="Calibri" w:cs="Calibri"/>
          <w:sz w:val="22"/>
          <w:szCs w:val="22"/>
        </w:rPr>
        <w:t>.</w:t>
      </w:r>
    </w:p>
    <w:p w14:paraId="2DC67A3E" w14:textId="77777777" w:rsidR="003009FE" w:rsidRDefault="003009FE" w:rsidP="00B20853">
      <w:pPr>
        <w:pStyle w:val="ListParagraph"/>
        <w:ind w:left="360"/>
        <w:rPr>
          <w:rFonts w:ascii="Calibri" w:hAnsi="Calibri" w:cs="Calibri"/>
          <w:sz w:val="22"/>
          <w:szCs w:val="22"/>
        </w:rPr>
      </w:pPr>
    </w:p>
    <w:p w14:paraId="2D7769ED" w14:textId="3229D6AD" w:rsidR="003B1C14" w:rsidRPr="00EB5ACF" w:rsidRDefault="00F7335E" w:rsidP="00EB5ACF">
      <w:pPr>
        <w:pStyle w:val="ListParagraph"/>
        <w:ind w:left="360"/>
        <w:rPr>
          <w:rFonts w:ascii="Calibri" w:hAnsi="Calibri" w:cs="Calibri"/>
          <w:sz w:val="22"/>
          <w:szCs w:val="22"/>
        </w:rPr>
      </w:pPr>
      <w:r>
        <w:rPr>
          <w:rFonts w:ascii="Calibri" w:hAnsi="Calibri" w:cs="Calibri"/>
          <w:sz w:val="22"/>
          <w:szCs w:val="22"/>
        </w:rPr>
        <w:t xml:space="preserve">Before </w:t>
      </w:r>
      <w:r w:rsidR="005726B7">
        <w:rPr>
          <w:rFonts w:ascii="Calibri" w:hAnsi="Calibri" w:cs="Calibri"/>
          <w:sz w:val="22"/>
          <w:szCs w:val="22"/>
        </w:rPr>
        <w:t>legislative amendments to the SBM law in 2021, the Supreme Court of North Carolina held that SBM was facially unconstitutional for recidivists no longer under formal supervision. State v. Grady</w:t>
      </w:r>
      <w:r w:rsidR="00785485">
        <w:rPr>
          <w:rFonts w:ascii="Calibri" w:hAnsi="Calibri" w:cs="Calibri"/>
          <w:sz w:val="22"/>
          <w:szCs w:val="22"/>
        </w:rPr>
        <w:t xml:space="preserve">, 372 N.C. 509 (2019) (“Grady III”). </w:t>
      </w:r>
      <w:r w:rsidR="009A2DBA">
        <w:rPr>
          <w:rFonts w:ascii="Calibri" w:hAnsi="Calibri" w:cs="Calibri"/>
          <w:sz w:val="22"/>
          <w:szCs w:val="22"/>
        </w:rPr>
        <w:t>Subsequently, including a</w:t>
      </w:r>
      <w:r w:rsidR="00785485">
        <w:rPr>
          <w:rFonts w:ascii="Calibri" w:hAnsi="Calibri" w:cs="Calibri"/>
          <w:sz w:val="22"/>
          <w:szCs w:val="22"/>
        </w:rPr>
        <w:t xml:space="preserve">fter the </w:t>
      </w:r>
      <w:r w:rsidR="009A2DBA">
        <w:rPr>
          <w:rFonts w:ascii="Calibri" w:hAnsi="Calibri" w:cs="Calibri"/>
          <w:sz w:val="22"/>
          <w:szCs w:val="22"/>
        </w:rPr>
        <w:t xml:space="preserve">legislative </w:t>
      </w:r>
      <w:r w:rsidR="00785485">
        <w:rPr>
          <w:rFonts w:ascii="Calibri" w:hAnsi="Calibri" w:cs="Calibri"/>
          <w:sz w:val="22"/>
          <w:szCs w:val="22"/>
        </w:rPr>
        <w:t xml:space="preserve">amendments, the appellate courts have </w:t>
      </w:r>
      <w:r w:rsidR="005D032C">
        <w:rPr>
          <w:rFonts w:ascii="Calibri" w:hAnsi="Calibri" w:cs="Calibri"/>
          <w:sz w:val="22"/>
          <w:szCs w:val="22"/>
        </w:rPr>
        <w:t>generally</w:t>
      </w:r>
      <w:r w:rsidR="00785485">
        <w:rPr>
          <w:rFonts w:ascii="Calibri" w:hAnsi="Calibri" w:cs="Calibri"/>
          <w:sz w:val="22"/>
          <w:szCs w:val="22"/>
        </w:rPr>
        <w:t xml:space="preserve"> upheld the constitutionality of SBM.</w:t>
      </w:r>
      <w:r w:rsidR="00EB5ACF">
        <w:rPr>
          <w:rFonts w:ascii="Calibri" w:hAnsi="Calibri" w:cs="Calibri"/>
          <w:sz w:val="22"/>
          <w:szCs w:val="22"/>
        </w:rPr>
        <w:t xml:space="preserve"> In </w:t>
      </w:r>
      <w:r w:rsidR="00785485" w:rsidRPr="00EB5ACF">
        <w:rPr>
          <w:rFonts w:ascii="Calibri" w:hAnsi="Calibri" w:cs="Calibri"/>
          <w:i/>
          <w:iCs/>
          <w:sz w:val="22"/>
          <w:szCs w:val="22"/>
        </w:rPr>
        <w:t>State</w:t>
      </w:r>
      <w:r w:rsidR="009A2DBA" w:rsidRPr="00EB5ACF">
        <w:rPr>
          <w:rFonts w:ascii="Calibri" w:hAnsi="Calibri" w:cs="Calibri"/>
          <w:i/>
          <w:iCs/>
          <w:sz w:val="22"/>
          <w:szCs w:val="22"/>
        </w:rPr>
        <w:t xml:space="preserve"> v. Hilton</w:t>
      </w:r>
      <w:r w:rsidR="009A2DBA" w:rsidRPr="00EB5ACF">
        <w:rPr>
          <w:rFonts w:ascii="Calibri" w:hAnsi="Calibri" w:cs="Calibri"/>
          <w:sz w:val="22"/>
          <w:szCs w:val="22"/>
        </w:rPr>
        <w:t>,</w:t>
      </w:r>
      <w:r w:rsidR="00322643" w:rsidRPr="00EB5ACF">
        <w:rPr>
          <w:rFonts w:ascii="Calibri" w:hAnsi="Calibri" w:cs="Calibri"/>
          <w:sz w:val="22"/>
          <w:szCs w:val="22"/>
        </w:rPr>
        <w:t xml:space="preserve"> 378 N.C. 692 (</w:t>
      </w:r>
      <w:r w:rsidR="00176204" w:rsidRPr="00EB5ACF">
        <w:rPr>
          <w:rFonts w:ascii="Calibri" w:hAnsi="Calibri" w:cs="Calibri"/>
          <w:sz w:val="22"/>
          <w:szCs w:val="22"/>
        </w:rPr>
        <w:t>2021)</w:t>
      </w:r>
      <w:r w:rsidR="00EB5ACF">
        <w:rPr>
          <w:rFonts w:ascii="Calibri" w:hAnsi="Calibri" w:cs="Calibri"/>
          <w:sz w:val="22"/>
          <w:szCs w:val="22"/>
        </w:rPr>
        <w:t xml:space="preserve">, the Supreme Court of North Carolina </w:t>
      </w:r>
      <w:r w:rsidR="006006BB">
        <w:rPr>
          <w:rFonts w:ascii="Calibri" w:hAnsi="Calibri" w:cs="Calibri"/>
          <w:sz w:val="22"/>
          <w:szCs w:val="22"/>
        </w:rPr>
        <w:t xml:space="preserve">deemed SBM </w:t>
      </w:r>
      <w:r w:rsidR="00176204" w:rsidRPr="00EB5ACF">
        <w:rPr>
          <w:rFonts w:ascii="Calibri" w:hAnsi="Calibri" w:cs="Calibri"/>
          <w:sz w:val="22"/>
          <w:szCs w:val="22"/>
        </w:rPr>
        <w:t xml:space="preserve">constitutional as applied to an aggravated offender, adding that SBM is </w:t>
      </w:r>
      <w:r w:rsidR="006006BB">
        <w:rPr>
          <w:rFonts w:ascii="Calibri" w:hAnsi="Calibri" w:cs="Calibri"/>
          <w:sz w:val="22"/>
          <w:szCs w:val="22"/>
        </w:rPr>
        <w:t xml:space="preserve">generally </w:t>
      </w:r>
      <w:r w:rsidR="00176204" w:rsidRPr="00EB5ACF">
        <w:rPr>
          <w:rFonts w:ascii="Calibri" w:hAnsi="Calibri" w:cs="Calibri"/>
          <w:sz w:val="22"/>
          <w:szCs w:val="22"/>
        </w:rPr>
        <w:t xml:space="preserve">effective, and that there is </w:t>
      </w:r>
      <w:r w:rsidR="00176204" w:rsidRPr="006006BB">
        <w:rPr>
          <w:rFonts w:ascii="Calibri" w:hAnsi="Calibri" w:cs="Calibri"/>
          <w:b/>
          <w:bCs/>
          <w:sz w:val="22"/>
          <w:szCs w:val="22"/>
        </w:rPr>
        <w:t>no further requirement for the State to prove its efficacy in individual cases</w:t>
      </w:r>
      <w:r w:rsidR="006006BB">
        <w:rPr>
          <w:rFonts w:ascii="Calibri" w:hAnsi="Calibri" w:cs="Calibri"/>
          <w:sz w:val="22"/>
          <w:szCs w:val="22"/>
        </w:rPr>
        <w:t>.</w:t>
      </w:r>
    </w:p>
    <w:p w14:paraId="6A7731BE" w14:textId="562D1945" w:rsidR="00975710" w:rsidRDefault="00271294" w:rsidP="003B1C14">
      <w:pPr>
        <w:pStyle w:val="ListParagraph"/>
        <w:numPr>
          <w:ilvl w:val="0"/>
          <w:numId w:val="4"/>
        </w:numPr>
        <w:rPr>
          <w:rFonts w:ascii="Calibri" w:hAnsi="Calibri" w:cs="Calibri"/>
          <w:sz w:val="22"/>
          <w:szCs w:val="22"/>
        </w:rPr>
      </w:pPr>
      <w:r>
        <w:rPr>
          <w:rFonts w:ascii="Calibri" w:hAnsi="Calibri" w:cs="Calibri"/>
          <w:sz w:val="22"/>
          <w:szCs w:val="22"/>
        </w:rPr>
        <w:t xml:space="preserve">State v. Griffin, </w:t>
      </w:r>
      <w:r w:rsidR="006132C2">
        <w:rPr>
          <w:rFonts w:ascii="Calibri" w:hAnsi="Calibri" w:cs="Calibri"/>
          <w:sz w:val="22"/>
          <w:szCs w:val="22"/>
        </w:rPr>
        <w:t>286 N.C. App. 94 (2022) (SBM reasonable for defendant convicted of first-degree sexual offense with a child)</w:t>
      </w:r>
      <w:r w:rsidR="00EB5ACF">
        <w:rPr>
          <w:rFonts w:ascii="Calibri" w:hAnsi="Calibri" w:cs="Calibri"/>
          <w:sz w:val="22"/>
          <w:szCs w:val="22"/>
        </w:rPr>
        <w:t>.</w:t>
      </w:r>
    </w:p>
    <w:p w14:paraId="438EFF9B" w14:textId="2451C9B5" w:rsidR="009A36C5" w:rsidRDefault="009A36C5" w:rsidP="003B1C14">
      <w:pPr>
        <w:pStyle w:val="ListParagraph"/>
        <w:numPr>
          <w:ilvl w:val="0"/>
          <w:numId w:val="4"/>
        </w:numPr>
        <w:rPr>
          <w:rFonts w:ascii="Calibri" w:hAnsi="Calibri" w:cs="Calibri"/>
          <w:sz w:val="22"/>
          <w:szCs w:val="22"/>
        </w:rPr>
      </w:pPr>
      <w:r>
        <w:rPr>
          <w:rFonts w:ascii="Calibri" w:hAnsi="Calibri" w:cs="Calibri"/>
          <w:sz w:val="22"/>
          <w:szCs w:val="22"/>
        </w:rPr>
        <w:t xml:space="preserve">State v. Gordon, </w:t>
      </w:r>
      <w:r w:rsidR="00206395">
        <w:rPr>
          <w:rFonts w:ascii="Calibri" w:hAnsi="Calibri" w:cs="Calibri"/>
          <w:sz w:val="22"/>
          <w:szCs w:val="22"/>
        </w:rPr>
        <w:t>285 N.C. App. 191 (2022) (SBM reasonable for defendant convicted of statutory rape and other offenses).</w:t>
      </w:r>
    </w:p>
    <w:p w14:paraId="4525A16C" w14:textId="18125D85" w:rsidR="00E873DE" w:rsidRDefault="00E873DE" w:rsidP="003B1C14">
      <w:pPr>
        <w:pStyle w:val="ListParagraph"/>
        <w:numPr>
          <w:ilvl w:val="0"/>
          <w:numId w:val="4"/>
        </w:numPr>
        <w:rPr>
          <w:rFonts w:ascii="Calibri" w:hAnsi="Calibri" w:cs="Calibri"/>
          <w:sz w:val="22"/>
          <w:szCs w:val="22"/>
        </w:rPr>
      </w:pPr>
      <w:r>
        <w:rPr>
          <w:rFonts w:ascii="Calibri" w:hAnsi="Calibri" w:cs="Calibri"/>
          <w:sz w:val="22"/>
          <w:szCs w:val="22"/>
        </w:rPr>
        <w:t xml:space="preserve">State v. Anthony, 284 N.C. App. 135 (2022) (SBM reasonable for defendant convicted of </w:t>
      </w:r>
      <w:r w:rsidR="00DE1446">
        <w:rPr>
          <w:rFonts w:ascii="Calibri" w:hAnsi="Calibri" w:cs="Calibri"/>
          <w:sz w:val="22"/>
          <w:szCs w:val="22"/>
        </w:rPr>
        <w:t>aggravated sex offenses).</w:t>
      </w:r>
    </w:p>
    <w:p w14:paraId="777D1041" w14:textId="46DC3474" w:rsidR="00F7498C" w:rsidRDefault="00F7498C" w:rsidP="003B1C14">
      <w:pPr>
        <w:pStyle w:val="ListParagraph"/>
        <w:numPr>
          <w:ilvl w:val="0"/>
          <w:numId w:val="4"/>
        </w:numPr>
        <w:rPr>
          <w:rFonts w:ascii="Calibri" w:hAnsi="Calibri" w:cs="Calibri"/>
          <w:sz w:val="22"/>
          <w:szCs w:val="22"/>
        </w:rPr>
      </w:pPr>
      <w:r>
        <w:rPr>
          <w:rFonts w:ascii="Calibri" w:hAnsi="Calibri" w:cs="Calibri"/>
          <w:sz w:val="22"/>
          <w:szCs w:val="22"/>
        </w:rPr>
        <w:t>State v. Carter, 283 N.C. App. 61 (2022) (SBM reasonable for defendant convicted of first-degree sexual offense with a child).</w:t>
      </w:r>
    </w:p>
    <w:p w14:paraId="1A36194F" w14:textId="65D62EFC" w:rsidR="003B1C14" w:rsidRDefault="00AF2D8A" w:rsidP="006B71B8">
      <w:pPr>
        <w:pStyle w:val="ListParagraph"/>
        <w:ind w:left="360"/>
        <w:rPr>
          <w:rFonts w:ascii="Calibri" w:hAnsi="Calibri" w:cs="Calibri"/>
          <w:sz w:val="22"/>
          <w:szCs w:val="22"/>
        </w:rPr>
      </w:pPr>
      <w:r>
        <w:rPr>
          <w:rFonts w:ascii="Calibri" w:hAnsi="Calibri" w:cs="Calibri"/>
          <w:sz w:val="22"/>
          <w:szCs w:val="22"/>
        </w:rPr>
        <w:t>Even if the actual search accomplished through SBM will not happen for many years</w:t>
      </w:r>
      <w:r w:rsidR="00EA1B77">
        <w:rPr>
          <w:rFonts w:ascii="Calibri" w:hAnsi="Calibri" w:cs="Calibri"/>
          <w:sz w:val="22"/>
          <w:szCs w:val="22"/>
        </w:rPr>
        <w:t xml:space="preserve"> or decades</w:t>
      </w:r>
      <w:r w:rsidR="004D01AA">
        <w:rPr>
          <w:rFonts w:ascii="Calibri" w:hAnsi="Calibri" w:cs="Calibri"/>
          <w:sz w:val="22"/>
          <w:szCs w:val="22"/>
        </w:rPr>
        <w:t xml:space="preserve"> after sentencing</w:t>
      </w:r>
      <w:r>
        <w:rPr>
          <w:rFonts w:ascii="Calibri" w:hAnsi="Calibri" w:cs="Calibri"/>
          <w:sz w:val="22"/>
          <w:szCs w:val="22"/>
        </w:rPr>
        <w:t xml:space="preserve">, the Supreme Court has stated that </w:t>
      </w:r>
      <w:r w:rsidR="00F848C1">
        <w:rPr>
          <w:rFonts w:ascii="Calibri" w:hAnsi="Calibri" w:cs="Calibri"/>
          <w:sz w:val="22"/>
          <w:szCs w:val="22"/>
        </w:rPr>
        <w:t xml:space="preserve">the </w:t>
      </w:r>
      <w:r w:rsidR="0027519F">
        <w:rPr>
          <w:rFonts w:ascii="Calibri" w:hAnsi="Calibri" w:cs="Calibri"/>
          <w:sz w:val="22"/>
          <w:szCs w:val="22"/>
        </w:rPr>
        <w:t xml:space="preserve">trial court should evaluate reasonableness at the time of sentencing, making any later adjustments as needed through Rule </w:t>
      </w:r>
      <w:r w:rsidR="006B71B8">
        <w:rPr>
          <w:rFonts w:ascii="Calibri" w:hAnsi="Calibri" w:cs="Calibri"/>
          <w:sz w:val="22"/>
          <w:szCs w:val="22"/>
        </w:rPr>
        <w:t>60(b). State v. Strudwick, 379 N.C. 94 (2021).</w:t>
      </w:r>
    </w:p>
    <w:p w14:paraId="10EAD7F7" w14:textId="77777777" w:rsidR="004C08EA" w:rsidRPr="004C08EA" w:rsidRDefault="004C08EA" w:rsidP="004C08EA">
      <w:pPr>
        <w:pStyle w:val="ListParagraph"/>
        <w:ind w:left="360"/>
        <w:rPr>
          <w:rFonts w:ascii="Calibri" w:hAnsi="Calibri" w:cs="Calibri"/>
          <w:sz w:val="22"/>
          <w:szCs w:val="22"/>
        </w:rPr>
      </w:pPr>
    </w:p>
    <w:p w14:paraId="08CE720C" w14:textId="6516821B" w:rsidR="00D90B11" w:rsidRPr="00603EC5" w:rsidRDefault="00603EC5" w:rsidP="00603EC5">
      <w:pPr>
        <w:rPr>
          <w:rFonts w:ascii="Calibri" w:hAnsi="Calibri" w:cs="Calibri"/>
          <w:b/>
          <w:bCs/>
          <w:sz w:val="22"/>
          <w:szCs w:val="22"/>
        </w:rPr>
      </w:pPr>
      <w:r>
        <w:rPr>
          <w:rFonts w:ascii="Calibri" w:hAnsi="Calibri" w:cs="Calibri"/>
          <w:b/>
          <w:bCs/>
          <w:sz w:val="22"/>
          <w:szCs w:val="22"/>
        </w:rPr>
        <w:t>Step 4: Order</w:t>
      </w:r>
    </w:p>
    <w:p w14:paraId="0607F3AE" w14:textId="22D526C4" w:rsidR="00D90B11" w:rsidRPr="00174031" w:rsidRDefault="004C08EA" w:rsidP="00174031">
      <w:pPr>
        <w:pStyle w:val="ListParagraph"/>
        <w:numPr>
          <w:ilvl w:val="1"/>
          <w:numId w:val="5"/>
        </w:numPr>
        <w:rPr>
          <w:rFonts w:ascii="Calibri" w:hAnsi="Calibri" w:cs="Calibri"/>
          <w:sz w:val="22"/>
          <w:szCs w:val="22"/>
        </w:rPr>
      </w:pPr>
      <w:r w:rsidRPr="00174031">
        <w:rPr>
          <w:rFonts w:ascii="Calibri" w:hAnsi="Calibri" w:cs="Calibri"/>
          <w:sz w:val="22"/>
          <w:szCs w:val="22"/>
        </w:rPr>
        <w:t>If the defendant</w:t>
      </w:r>
      <w:r w:rsidR="00D90B11" w:rsidRPr="00174031">
        <w:rPr>
          <w:rFonts w:ascii="Calibri" w:hAnsi="Calibri" w:cs="Calibri"/>
          <w:sz w:val="22"/>
          <w:szCs w:val="22"/>
        </w:rPr>
        <w:t xml:space="preserve"> </w:t>
      </w:r>
    </w:p>
    <w:p w14:paraId="317E9DC9" w14:textId="5E0C3F87" w:rsidR="00D90B11" w:rsidRDefault="004C08EA" w:rsidP="00D90B11">
      <w:pPr>
        <w:pStyle w:val="ListParagraph"/>
        <w:numPr>
          <w:ilvl w:val="2"/>
          <w:numId w:val="5"/>
        </w:numPr>
        <w:rPr>
          <w:rFonts w:ascii="Calibri" w:hAnsi="Calibri" w:cs="Calibri"/>
          <w:sz w:val="22"/>
          <w:szCs w:val="22"/>
        </w:rPr>
      </w:pPr>
      <w:r w:rsidRPr="00D90B11">
        <w:rPr>
          <w:rFonts w:ascii="Calibri" w:hAnsi="Calibri" w:cs="Calibri"/>
          <w:sz w:val="22"/>
          <w:szCs w:val="22"/>
        </w:rPr>
        <w:t xml:space="preserve">is in one of the </w:t>
      </w:r>
      <w:proofErr w:type="gramStart"/>
      <w:r w:rsidRPr="00D90B11">
        <w:rPr>
          <w:rFonts w:ascii="Calibri" w:hAnsi="Calibri" w:cs="Calibri"/>
          <w:sz w:val="22"/>
          <w:szCs w:val="22"/>
        </w:rPr>
        <w:t>lifetime</w:t>
      </w:r>
      <w:proofErr w:type="gramEnd"/>
      <w:r w:rsidRPr="00D90B11">
        <w:rPr>
          <w:rFonts w:ascii="Calibri" w:hAnsi="Calibri" w:cs="Calibri"/>
          <w:sz w:val="22"/>
          <w:szCs w:val="22"/>
        </w:rPr>
        <w:t xml:space="preserve"> </w:t>
      </w:r>
      <w:proofErr w:type="gramStart"/>
      <w:r w:rsidRPr="00D90B11">
        <w:rPr>
          <w:rFonts w:ascii="Calibri" w:hAnsi="Calibri" w:cs="Calibri"/>
          <w:sz w:val="22"/>
          <w:szCs w:val="22"/>
        </w:rPr>
        <w:t>categories</w:t>
      </w:r>
      <w:r w:rsidR="00B72987">
        <w:rPr>
          <w:rFonts w:ascii="Calibri" w:hAnsi="Calibri" w:cs="Calibri"/>
          <w:sz w:val="22"/>
          <w:szCs w:val="22"/>
        </w:rPr>
        <w:t>;</w:t>
      </w:r>
      <w:proofErr w:type="gramEnd"/>
      <w:r w:rsidRPr="00D90B11">
        <w:rPr>
          <w:rFonts w:ascii="Calibri" w:hAnsi="Calibri" w:cs="Calibri"/>
          <w:sz w:val="22"/>
          <w:szCs w:val="22"/>
        </w:rPr>
        <w:t xml:space="preserve"> </w:t>
      </w:r>
    </w:p>
    <w:p w14:paraId="08B5FBA5" w14:textId="4744D17B" w:rsidR="00D90B11" w:rsidRDefault="004C08EA" w:rsidP="00D90B11">
      <w:pPr>
        <w:pStyle w:val="ListParagraph"/>
        <w:numPr>
          <w:ilvl w:val="2"/>
          <w:numId w:val="5"/>
        </w:numPr>
        <w:rPr>
          <w:rFonts w:ascii="Calibri" w:hAnsi="Calibri" w:cs="Calibri"/>
          <w:sz w:val="22"/>
          <w:szCs w:val="22"/>
        </w:rPr>
      </w:pPr>
      <w:r w:rsidRPr="00D90B11">
        <w:rPr>
          <w:rFonts w:ascii="Calibri" w:hAnsi="Calibri" w:cs="Calibri"/>
          <w:sz w:val="22"/>
          <w:szCs w:val="22"/>
        </w:rPr>
        <w:t>requires the highest level of supervision and monitoring</w:t>
      </w:r>
      <w:r w:rsidR="00B72987">
        <w:rPr>
          <w:rFonts w:ascii="Calibri" w:hAnsi="Calibri" w:cs="Calibri"/>
          <w:sz w:val="22"/>
          <w:szCs w:val="22"/>
        </w:rPr>
        <w:t>;</w:t>
      </w:r>
      <w:r w:rsidRPr="00D90B11">
        <w:rPr>
          <w:rFonts w:ascii="Calibri" w:hAnsi="Calibri" w:cs="Calibri"/>
          <w:sz w:val="22"/>
          <w:szCs w:val="22"/>
        </w:rPr>
        <w:t xml:space="preserve"> and </w:t>
      </w:r>
    </w:p>
    <w:p w14:paraId="531E215E" w14:textId="362544E2" w:rsidR="009F0205" w:rsidRDefault="009F0205" w:rsidP="009F0205">
      <w:pPr>
        <w:pStyle w:val="ListParagraph"/>
        <w:numPr>
          <w:ilvl w:val="2"/>
          <w:numId w:val="5"/>
        </w:numPr>
        <w:rPr>
          <w:rFonts w:ascii="Calibri" w:hAnsi="Calibri" w:cs="Calibri"/>
          <w:sz w:val="22"/>
          <w:szCs w:val="22"/>
        </w:rPr>
      </w:pPr>
      <w:r w:rsidRPr="009F0205">
        <w:rPr>
          <w:rFonts w:ascii="Calibri" w:hAnsi="Calibri" w:cs="Calibri"/>
          <w:sz w:val="22"/>
          <w:szCs w:val="22"/>
        </w:rPr>
        <w:t xml:space="preserve">the court deems </w:t>
      </w:r>
      <w:r w:rsidR="004C08EA" w:rsidRPr="009F0205">
        <w:rPr>
          <w:rFonts w:ascii="Calibri" w:hAnsi="Calibri" w:cs="Calibri"/>
          <w:sz w:val="22"/>
          <w:szCs w:val="22"/>
        </w:rPr>
        <w:t xml:space="preserve">SBM </w:t>
      </w:r>
      <w:r w:rsidRPr="009F0205">
        <w:rPr>
          <w:rFonts w:ascii="Calibri" w:hAnsi="Calibri" w:cs="Calibri"/>
          <w:sz w:val="22"/>
          <w:szCs w:val="22"/>
        </w:rPr>
        <w:t xml:space="preserve">to be </w:t>
      </w:r>
      <w:r w:rsidR="004C08EA" w:rsidRPr="009F0205">
        <w:rPr>
          <w:rFonts w:ascii="Calibri" w:hAnsi="Calibri" w:cs="Calibri"/>
          <w:sz w:val="22"/>
          <w:szCs w:val="22"/>
        </w:rPr>
        <w:t xml:space="preserve">a </w:t>
      </w:r>
      <w:r w:rsidR="006F3786">
        <w:rPr>
          <w:rFonts w:ascii="Calibri" w:hAnsi="Calibri" w:cs="Calibri"/>
          <w:sz w:val="22"/>
          <w:szCs w:val="22"/>
        </w:rPr>
        <w:t xml:space="preserve">constitutionally </w:t>
      </w:r>
      <w:r w:rsidR="004C08EA" w:rsidRPr="009F0205">
        <w:rPr>
          <w:rFonts w:ascii="Calibri" w:hAnsi="Calibri" w:cs="Calibri"/>
          <w:sz w:val="22"/>
          <w:szCs w:val="22"/>
        </w:rPr>
        <w:t xml:space="preserve">reasonable search </w:t>
      </w:r>
    </w:p>
    <w:p w14:paraId="02A007B9" w14:textId="2FE08369" w:rsidR="004C08EA" w:rsidRPr="009F0205" w:rsidRDefault="004C08EA" w:rsidP="009F0205">
      <w:pPr>
        <w:pStyle w:val="ListParagraph"/>
        <w:ind w:left="1080"/>
        <w:rPr>
          <w:rFonts w:ascii="Calibri" w:hAnsi="Calibri" w:cs="Calibri"/>
          <w:sz w:val="22"/>
          <w:szCs w:val="22"/>
        </w:rPr>
      </w:pPr>
      <w:r w:rsidRPr="009F0205">
        <w:rPr>
          <w:rFonts w:ascii="Calibri" w:hAnsi="Calibri" w:cs="Calibri"/>
          <w:sz w:val="22"/>
          <w:szCs w:val="22"/>
        </w:rPr>
        <w:t xml:space="preserve">then </w:t>
      </w:r>
      <w:r w:rsidR="009F0205" w:rsidRPr="009F0205">
        <w:rPr>
          <w:rFonts w:ascii="Calibri" w:hAnsi="Calibri" w:cs="Calibri"/>
          <w:sz w:val="22"/>
          <w:szCs w:val="22"/>
        </w:rPr>
        <w:t xml:space="preserve">the court should </w:t>
      </w:r>
      <w:r w:rsidRPr="009F0205">
        <w:rPr>
          <w:rFonts w:ascii="Calibri" w:hAnsi="Calibri" w:cs="Calibri"/>
          <w:sz w:val="22"/>
          <w:szCs w:val="22"/>
        </w:rPr>
        <w:t xml:space="preserve">order SBM for life. </w:t>
      </w:r>
    </w:p>
    <w:p w14:paraId="73E55D1F" w14:textId="77777777" w:rsidR="006F3786" w:rsidRDefault="004C08EA" w:rsidP="006F3786">
      <w:pPr>
        <w:pStyle w:val="ListParagraph"/>
        <w:numPr>
          <w:ilvl w:val="1"/>
          <w:numId w:val="5"/>
        </w:numPr>
        <w:rPr>
          <w:rFonts w:ascii="Calibri" w:hAnsi="Calibri" w:cs="Calibri"/>
          <w:sz w:val="22"/>
          <w:szCs w:val="22"/>
        </w:rPr>
      </w:pPr>
      <w:r w:rsidRPr="004C08EA">
        <w:rPr>
          <w:rFonts w:ascii="Calibri" w:hAnsi="Calibri" w:cs="Calibri"/>
          <w:sz w:val="22"/>
          <w:szCs w:val="22"/>
        </w:rPr>
        <w:t>If the defendant</w:t>
      </w:r>
      <w:r w:rsidR="006F3786">
        <w:rPr>
          <w:rFonts w:ascii="Calibri" w:hAnsi="Calibri" w:cs="Calibri"/>
          <w:sz w:val="22"/>
          <w:szCs w:val="22"/>
        </w:rPr>
        <w:t xml:space="preserve"> </w:t>
      </w:r>
    </w:p>
    <w:p w14:paraId="67A5FB20" w14:textId="0CA01229" w:rsidR="004C08EA" w:rsidRDefault="004C08EA" w:rsidP="006F3786">
      <w:pPr>
        <w:pStyle w:val="ListParagraph"/>
        <w:numPr>
          <w:ilvl w:val="2"/>
          <w:numId w:val="5"/>
        </w:numPr>
        <w:rPr>
          <w:rFonts w:ascii="Calibri" w:hAnsi="Calibri" w:cs="Calibri"/>
          <w:sz w:val="22"/>
          <w:szCs w:val="22"/>
        </w:rPr>
      </w:pPr>
      <w:r w:rsidRPr="006F3786">
        <w:rPr>
          <w:rFonts w:ascii="Calibri" w:hAnsi="Calibri" w:cs="Calibri"/>
          <w:sz w:val="22"/>
          <w:szCs w:val="22"/>
        </w:rPr>
        <w:t xml:space="preserve">committed an offense that involves the physical, mental, or sexual abuse of a minor, </w:t>
      </w:r>
    </w:p>
    <w:p w14:paraId="7EB1395E" w14:textId="77777777" w:rsidR="006F3786" w:rsidRDefault="006F3786" w:rsidP="006F3786">
      <w:pPr>
        <w:pStyle w:val="ListParagraph"/>
        <w:numPr>
          <w:ilvl w:val="2"/>
          <w:numId w:val="5"/>
        </w:numPr>
        <w:rPr>
          <w:rFonts w:ascii="Calibri" w:hAnsi="Calibri" w:cs="Calibri"/>
          <w:sz w:val="22"/>
          <w:szCs w:val="22"/>
        </w:rPr>
      </w:pPr>
      <w:r>
        <w:rPr>
          <w:rFonts w:ascii="Calibri" w:hAnsi="Calibri" w:cs="Calibri"/>
          <w:sz w:val="22"/>
          <w:szCs w:val="22"/>
        </w:rPr>
        <w:t xml:space="preserve">is </w:t>
      </w:r>
      <w:r>
        <w:rPr>
          <w:rFonts w:ascii="Calibri" w:hAnsi="Calibri" w:cs="Calibri"/>
          <w:sz w:val="22"/>
          <w:szCs w:val="22"/>
          <w:u w:val="single"/>
        </w:rPr>
        <w:t>not</w:t>
      </w:r>
      <w:r>
        <w:rPr>
          <w:rFonts w:ascii="Calibri" w:hAnsi="Calibri" w:cs="Calibri"/>
          <w:sz w:val="22"/>
          <w:szCs w:val="22"/>
        </w:rPr>
        <w:t xml:space="preserve"> in one of the </w:t>
      </w:r>
      <w:proofErr w:type="gramStart"/>
      <w:r>
        <w:rPr>
          <w:rFonts w:ascii="Calibri" w:hAnsi="Calibri" w:cs="Calibri"/>
          <w:sz w:val="22"/>
          <w:szCs w:val="22"/>
        </w:rPr>
        <w:t>lifetime</w:t>
      </w:r>
      <w:proofErr w:type="gramEnd"/>
      <w:r>
        <w:rPr>
          <w:rFonts w:ascii="Calibri" w:hAnsi="Calibri" w:cs="Calibri"/>
          <w:sz w:val="22"/>
          <w:szCs w:val="22"/>
        </w:rPr>
        <w:t xml:space="preserve"> SBM </w:t>
      </w:r>
      <w:proofErr w:type="gramStart"/>
      <w:r>
        <w:rPr>
          <w:rFonts w:ascii="Calibri" w:hAnsi="Calibri" w:cs="Calibri"/>
          <w:sz w:val="22"/>
          <w:szCs w:val="22"/>
        </w:rPr>
        <w:t>categories;</w:t>
      </w:r>
      <w:proofErr w:type="gramEnd"/>
    </w:p>
    <w:p w14:paraId="659FE1E0" w14:textId="2CEC4CAC" w:rsidR="004C08EA" w:rsidRDefault="004C08EA" w:rsidP="006F3786">
      <w:pPr>
        <w:pStyle w:val="ListParagraph"/>
        <w:numPr>
          <w:ilvl w:val="2"/>
          <w:numId w:val="5"/>
        </w:numPr>
        <w:rPr>
          <w:rFonts w:ascii="Calibri" w:hAnsi="Calibri" w:cs="Calibri"/>
          <w:sz w:val="22"/>
          <w:szCs w:val="22"/>
        </w:rPr>
      </w:pPr>
      <w:r w:rsidRPr="006F3786">
        <w:rPr>
          <w:rFonts w:ascii="Calibri" w:hAnsi="Calibri" w:cs="Calibri"/>
          <w:sz w:val="22"/>
          <w:szCs w:val="22"/>
        </w:rPr>
        <w:t>requires the highest level of supervision and monitoring</w:t>
      </w:r>
      <w:r w:rsidR="00B72987">
        <w:rPr>
          <w:rFonts w:ascii="Calibri" w:hAnsi="Calibri" w:cs="Calibri"/>
          <w:sz w:val="22"/>
          <w:szCs w:val="22"/>
        </w:rPr>
        <w:t>;</w:t>
      </w:r>
      <w:r w:rsidRPr="006F3786">
        <w:rPr>
          <w:rFonts w:ascii="Calibri" w:hAnsi="Calibri" w:cs="Calibri"/>
          <w:sz w:val="22"/>
          <w:szCs w:val="22"/>
        </w:rPr>
        <w:t xml:space="preserve"> and </w:t>
      </w:r>
    </w:p>
    <w:p w14:paraId="3FEC712B" w14:textId="004630CA" w:rsidR="006F3786" w:rsidRDefault="006F3786" w:rsidP="006F3786">
      <w:pPr>
        <w:pStyle w:val="ListParagraph"/>
        <w:numPr>
          <w:ilvl w:val="2"/>
          <w:numId w:val="5"/>
        </w:numPr>
        <w:rPr>
          <w:rFonts w:ascii="Calibri" w:hAnsi="Calibri" w:cs="Calibri"/>
          <w:sz w:val="22"/>
          <w:szCs w:val="22"/>
        </w:rPr>
      </w:pPr>
      <w:r w:rsidRPr="009F0205">
        <w:rPr>
          <w:rFonts w:ascii="Calibri" w:hAnsi="Calibri" w:cs="Calibri"/>
          <w:sz w:val="22"/>
          <w:szCs w:val="22"/>
        </w:rPr>
        <w:t xml:space="preserve">the court deems SBM to be a </w:t>
      </w:r>
      <w:r>
        <w:rPr>
          <w:rFonts w:ascii="Calibri" w:hAnsi="Calibri" w:cs="Calibri"/>
          <w:sz w:val="22"/>
          <w:szCs w:val="22"/>
        </w:rPr>
        <w:t xml:space="preserve">constitutionally </w:t>
      </w:r>
      <w:r w:rsidRPr="009F0205">
        <w:rPr>
          <w:rFonts w:ascii="Calibri" w:hAnsi="Calibri" w:cs="Calibri"/>
          <w:sz w:val="22"/>
          <w:szCs w:val="22"/>
        </w:rPr>
        <w:t xml:space="preserve">reasonable search </w:t>
      </w:r>
    </w:p>
    <w:p w14:paraId="08EAA4E9" w14:textId="77777777" w:rsidR="006F3786" w:rsidRDefault="006F3786" w:rsidP="006F3786">
      <w:pPr>
        <w:pStyle w:val="ListParagraph"/>
        <w:ind w:left="1080"/>
        <w:rPr>
          <w:rFonts w:ascii="Calibri" w:hAnsi="Calibri" w:cs="Calibri"/>
          <w:sz w:val="22"/>
          <w:szCs w:val="22"/>
        </w:rPr>
      </w:pPr>
      <w:r w:rsidRPr="009F0205">
        <w:rPr>
          <w:rFonts w:ascii="Calibri" w:hAnsi="Calibri" w:cs="Calibri"/>
          <w:sz w:val="22"/>
          <w:szCs w:val="22"/>
        </w:rPr>
        <w:t xml:space="preserve">then the court should order SBM for </w:t>
      </w:r>
      <w:proofErr w:type="gramStart"/>
      <w:r w:rsidR="004C08EA" w:rsidRPr="006F3786">
        <w:rPr>
          <w:rFonts w:ascii="Calibri" w:hAnsi="Calibri" w:cs="Calibri"/>
          <w:sz w:val="22"/>
          <w:szCs w:val="22"/>
        </w:rPr>
        <w:t>a period of time</w:t>
      </w:r>
      <w:proofErr w:type="gramEnd"/>
      <w:r w:rsidR="004C08EA" w:rsidRPr="006F3786">
        <w:rPr>
          <w:rFonts w:ascii="Calibri" w:hAnsi="Calibri" w:cs="Calibri"/>
          <w:sz w:val="22"/>
          <w:szCs w:val="22"/>
        </w:rPr>
        <w:t xml:space="preserve"> specified by the court</w:t>
      </w:r>
      <w:r>
        <w:rPr>
          <w:rFonts w:ascii="Calibri" w:hAnsi="Calibri" w:cs="Calibri"/>
          <w:sz w:val="22"/>
          <w:szCs w:val="22"/>
        </w:rPr>
        <w:t xml:space="preserve"> in its discretion</w:t>
      </w:r>
      <w:r w:rsidR="004C08EA" w:rsidRPr="006F3786">
        <w:rPr>
          <w:rFonts w:ascii="Calibri" w:hAnsi="Calibri" w:cs="Calibri"/>
          <w:sz w:val="22"/>
          <w:szCs w:val="22"/>
        </w:rPr>
        <w:t xml:space="preserve">, not to exceed 50 years. </w:t>
      </w:r>
    </w:p>
    <w:p w14:paraId="3AE19D35" w14:textId="77777777" w:rsidR="006F3786" w:rsidRDefault="004C08EA" w:rsidP="006F3786">
      <w:pPr>
        <w:pStyle w:val="ListParagraph"/>
        <w:numPr>
          <w:ilvl w:val="1"/>
          <w:numId w:val="5"/>
        </w:numPr>
        <w:rPr>
          <w:rFonts w:ascii="Calibri" w:hAnsi="Calibri" w:cs="Calibri"/>
          <w:sz w:val="22"/>
          <w:szCs w:val="22"/>
        </w:rPr>
      </w:pPr>
      <w:r w:rsidRPr="006F3786">
        <w:rPr>
          <w:rFonts w:ascii="Calibri" w:hAnsi="Calibri" w:cs="Calibri"/>
          <w:sz w:val="22"/>
          <w:szCs w:val="22"/>
        </w:rPr>
        <w:t xml:space="preserve">If the defendant </w:t>
      </w:r>
    </w:p>
    <w:p w14:paraId="10F9ADBA" w14:textId="32147DE2" w:rsidR="00365A01" w:rsidRDefault="004C08EA" w:rsidP="00365A01">
      <w:pPr>
        <w:pStyle w:val="ListParagraph"/>
        <w:numPr>
          <w:ilvl w:val="2"/>
          <w:numId w:val="5"/>
        </w:numPr>
        <w:rPr>
          <w:rFonts w:ascii="Calibri" w:hAnsi="Calibri" w:cs="Calibri"/>
          <w:sz w:val="22"/>
          <w:szCs w:val="22"/>
        </w:rPr>
      </w:pPr>
      <w:r w:rsidRPr="006F3786">
        <w:rPr>
          <w:rFonts w:ascii="Calibri" w:hAnsi="Calibri" w:cs="Calibri"/>
          <w:sz w:val="22"/>
          <w:szCs w:val="22"/>
        </w:rPr>
        <w:t xml:space="preserve">is not in either </w:t>
      </w:r>
      <w:r w:rsidR="00365A01">
        <w:rPr>
          <w:rFonts w:ascii="Calibri" w:hAnsi="Calibri" w:cs="Calibri"/>
          <w:sz w:val="22"/>
          <w:szCs w:val="22"/>
        </w:rPr>
        <w:t xml:space="preserve">SBM </w:t>
      </w:r>
      <w:r w:rsidRPr="006F3786">
        <w:rPr>
          <w:rFonts w:ascii="Calibri" w:hAnsi="Calibri" w:cs="Calibri"/>
          <w:sz w:val="22"/>
          <w:szCs w:val="22"/>
        </w:rPr>
        <w:t>category</w:t>
      </w:r>
      <w:r w:rsidR="00B72987">
        <w:rPr>
          <w:rFonts w:ascii="Calibri" w:hAnsi="Calibri" w:cs="Calibri"/>
          <w:sz w:val="22"/>
          <w:szCs w:val="22"/>
        </w:rPr>
        <w:t>;</w:t>
      </w:r>
      <w:r w:rsidRPr="006F3786">
        <w:rPr>
          <w:rFonts w:ascii="Calibri" w:hAnsi="Calibri" w:cs="Calibri"/>
          <w:sz w:val="22"/>
          <w:szCs w:val="22"/>
        </w:rPr>
        <w:t xml:space="preserve"> </w:t>
      </w:r>
      <w:r w:rsidR="00365A01">
        <w:rPr>
          <w:rFonts w:ascii="Calibri" w:hAnsi="Calibri" w:cs="Calibri"/>
          <w:sz w:val="22"/>
          <w:szCs w:val="22"/>
        </w:rPr>
        <w:t>or</w:t>
      </w:r>
    </w:p>
    <w:p w14:paraId="4D0B4B4C" w14:textId="77777777" w:rsidR="00365A01" w:rsidRDefault="004C08EA" w:rsidP="00365A01">
      <w:pPr>
        <w:pStyle w:val="ListParagraph"/>
        <w:numPr>
          <w:ilvl w:val="2"/>
          <w:numId w:val="5"/>
        </w:numPr>
        <w:rPr>
          <w:rFonts w:ascii="Calibri" w:hAnsi="Calibri" w:cs="Calibri"/>
          <w:sz w:val="22"/>
          <w:szCs w:val="22"/>
        </w:rPr>
      </w:pPr>
      <w:r w:rsidRPr="006F3786">
        <w:rPr>
          <w:rFonts w:ascii="Calibri" w:hAnsi="Calibri" w:cs="Calibri"/>
          <w:sz w:val="22"/>
          <w:szCs w:val="22"/>
        </w:rPr>
        <w:t xml:space="preserve">does not require the highest level of supervision and </w:t>
      </w:r>
      <w:proofErr w:type="gramStart"/>
      <w:r w:rsidRPr="006F3786">
        <w:rPr>
          <w:rFonts w:ascii="Calibri" w:hAnsi="Calibri" w:cs="Calibri"/>
          <w:sz w:val="22"/>
          <w:szCs w:val="22"/>
        </w:rPr>
        <w:t>monitoring</w:t>
      </w:r>
      <w:r w:rsidR="00365A01">
        <w:rPr>
          <w:rFonts w:ascii="Calibri" w:hAnsi="Calibri" w:cs="Calibri"/>
          <w:sz w:val="22"/>
          <w:szCs w:val="22"/>
        </w:rPr>
        <w:t>;</w:t>
      </w:r>
      <w:proofErr w:type="gramEnd"/>
      <w:r w:rsidR="00365A01">
        <w:rPr>
          <w:rFonts w:ascii="Calibri" w:hAnsi="Calibri" w:cs="Calibri"/>
          <w:sz w:val="22"/>
          <w:szCs w:val="22"/>
        </w:rPr>
        <w:t xml:space="preserve"> </w:t>
      </w:r>
    </w:p>
    <w:p w14:paraId="1F19D3A4" w14:textId="77777777" w:rsidR="00174031" w:rsidRDefault="004C08EA" w:rsidP="00174031">
      <w:pPr>
        <w:pStyle w:val="ListParagraph"/>
        <w:numPr>
          <w:ilvl w:val="2"/>
          <w:numId w:val="5"/>
        </w:numPr>
        <w:rPr>
          <w:rFonts w:ascii="Calibri" w:hAnsi="Calibri" w:cs="Calibri"/>
          <w:sz w:val="22"/>
          <w:szCs w:val="22"/>
        </w:rPr>
      </w:pPr>
      <w:r w:rsidRPr="006F3786">
        <w:rPr>
          <w:rFonts w:ascii="Calibri" w:hAnsi="Calibri" w:cs="Calibri"/>
          <w:sz w:val="22"/>
          <w:szCs w:val="22"/>
        </w:rPr>
        <w:t>or SBM would constitute an unreasonable searc</w:t>
      </w:r>
      <w:r w:rsidR="00365A01">
        <w:rPr>
          <w:rFonts w:ascii="Calibri" w:hAnsi="Calibri" w:cs="Calibri"/>
          <w:sz w:val="22"/>
          <w:szCs w:val="22"/>
        </w:rPr>
        <w:t>h</w:t>
      </w:r>
    </w:p>
    <w:p w14:paraId="11BDD36E" w14:textId="076E94AB" w:rsidR="004C08EA" w:rsidRPr="00174031" w:rsidRDefault="00174031" w:rsidP="00174031">
      <w:pPr>
        <w:pStyle w:val="ListParagraph"/>
        <w:ind w:left="1080"/>
        <w:rPr>
          <w:rFonts w:ascii="Calibri" w:hAnsi="Calibri" w:cs="Calibri"/>
          <w:sz w:val="22"/>
          <w:szCs w:val="22"/>
        </w:rPr>
      </w:pPr>
      <w:r w:rsidRPr="00174031">
        <w:rPr>
          <w:rFonts w:ascii="Calibri" w:hAnsi="Calibri" w:cs="Calibri"/>
          <w:sz w:val="22"/>
          <w:szCs w:val="22"/>
        </w:rPr>
        <w:t xml:space="preserve">then </w:t>
      </w:r>
      <w:r w:rsidR="004C08EA" w:rsidRPr="00174031">
        <w:rPr>
          <w:rFonts w:ascii="Calibri" w:hAnsi="Calibri" w:cs="Calibri"/>
          <w:sz w:val="22"/>
          <w:szCs w:val="22"/>
        </w:rPr>
        <w:t xml:space="preserve">the court </w:t>
      </w:r>
      <w:r>
        <w:rPr>
          <w:rFonts w:ascii="Calibri" w:hAnsi="Calibri" w:cs="Calibri"/>
          <w:sz w:val="22"/>
          <w:szCs w:val="22"/>
        </w:rPr>
        <w:t xml:space="preserve">must </w:t>
      </w:r>
      <w:r w:rsidR="004C08EA" w:rsidRPr="00174031">
        <w:rPr>
          <w:rFonts w:ascii="Calibri" w:hAnsi="Calibri" w:cs="Calibri"/>
          <w:sz w:val="22"/>
          <w:szCs w:val="22"/>
        </w:rPr>
        <w:t xml:space="preserve">order that the defendant is not to enroll in SBM. </w:t>
      </w:r>
    </w:p>
    <w:p w14:paraId="6D9F5D88" w14:textId="77777777" w:rsidR="008557BF" w:rsidRDefault="008557BF" w:rsidP="006B71B8">
      <w:pPr>
        <w:pStyle w:val="ListParagraph"/>
        <w:ind w:left="360"/>
        <w:rPr>
          <w:rFonts w:ascii="Calibri" w:hAnsi="Calibri" w:cs="Calibri"/>
          <w:b/>
          <w:bCs/>
          <w:sz w:val="22"/>
          <w:szCs w:val="22"/>
        </w:rPr>
      </w:pPr>
    </w:p>
    <w:p w14:paraId="25D1877B" w14:textId="77A0C480" w:rsidR="00850DDF" w:rsidRPr="00850DDF" w:rsidRDefault="00850DDF" w:rsidP="006B71B8">
      <w:pPr>
        <w:pStyle w:val="ListParagraph"/>
        <w:ind w:left="360"/>
        <w:rPr>
          <w:rFonts w:ascii="Calibri" w:hAnsi="Calibri" w:cs="Calibri"/>
          <w:b/>
          <w:bCs/>
          <w:sz w:val="22"/>
          <w:szCs w:val="22"/>
        </w:rPr>
      </w:pPr>
      <w:r w:rsidRPr="00850DDF">
        <w:rPr>
          <w:rFonts w:ascii="Calibri" w:hAnsi="Calibri" w:cs="Calibri"/>
          <w:b/>
          <w:bCs/>
          <w:sz w:val="22"/>
          <w:szCs w:val="22"/>
        </w:rPr>
        <w:t>Appeals.</w:t>
      </w:r>
      <w:r>
        <w:rPr>
          <w:rFonts w:ascii="Calibri" w:hAnsi="Calibri" w:cs="Calibri"/>
          <w:b/>
          <w:bCs/>
          <w:sz w:val="22"/>
          <w:szCs w:val="22"/>
        </w:rPr>
        <w:t xml:space="preserve"> </w:t>
      </w:r>
      <w:r>
        <w:rPr>
          <w:rFonts w:ascii="Calibri" w:hAnsi="Calibri" w:cs="Calibri"/>
          <w:sz w:val="22"/>
          <w:szCs w:val="22"/>
        </w:rPr>
        <w:t>Because SBM is civil in nature, defendants must note any appeal of an SBM determination</w:t>
      </w:r>
      <w:r w:rsidR="0070025E">
        <w:rPr>
          <w:rFonts w:ascii="Calibri" w:hAnsi="Calibri" w:cs="Calibri"/>
          <w:sz w:val="22"/>
          <w:szCs w:val="22"/>
        </w:rPr>
        <w:t xml:space="preserve"> in writing pursuant to Rule 3(a) of the N.C. Rules of Appellate Procedure; oral notice is insufficient. State v. Brooks, 204 N.C. App. 193 (2010).</w:t>
      </w:r>
    </w:p>
    <w:p w14:paraId="371F4D2B" w14:textId="77777777" w:rsidR="00850DDF" w:rsidRDefault="00850DDF" w:rsidP="006B71B8">
      <w:pPr>
        <w:pStyle w:val="ListParagraph"/>
        <w:ind w:left="360"/>
        <w:rPr>
          <w:rFonts w:ascii="Calibri" w:hAnsi="Calibri" w:cs="Calibri"/>
          <w:sz w:val="22"/>
          <w:szCs w:val="22"/>
        </w:rPr>
      </w:pPr>
    </w:p>
    <w:p w14:paraId="052B8B2E" w14:textId="5705B192" w:rsidR="0007497C" w:rsidRDefault="00850DDF" w:rsidP="006B71B8">
      <w:pPr>
        <w:pStyle w:val="ListParagraph"/>
        <w:ind w:left="360"/>
        <w:rPr>
          <w:rFonts w:ascii="Calibri" w:hAnsi="Calibri" w:cs="Calibri"/>
          <w:sz w:val="22"/>
          <w:szCs w:val="22"/>
        </w:rPr>
      </w:pPr>
      <w:r w:rsidRPr="0070025E">
        <w:rPr>
          <w:rFonts w:ascii="Calibri" w:hAnsi="Calibri" w:cs="Calibri"/>
          <w:b/>
          <w:bCs/>
          <w:sz w:val="22"/>
          <w:szCs w:val="22"/>
        </w:rPr>
        <w:t>Petitions for removal.</w:t>
      </w:r>
      <w:r w:rsidR="0070025E">
        <w:rPr>
          <w:rFonts w:ascii="Calibri" w:hAnsi="Calibri" w:cs="Calibri"/>
          <w:b/>
          <w:bCs/>
          <w:sz w:val="22"/>
          <w:szCs w:val="22"/>
        </w:rPr>
        <w:t xml:space="preserve"> </w:t>
      </w:r>
      <w:r w:rsidR="0070025E">
        <w:rPr>
          <w:rFonts w:ascii="Calibri" w:hAnsi="Calibri" w:cs="Calibri"/>
          <w:sz w:val="22"/>
          <w:szCs w:val="22"/>
        </w:rPr>
        <w:t xml:space="preserve">Defendants ordered to enroll in SBM on or after December 1, </w:t>
      </w:r>
      <w:proofErr w:type="gramStart"/>
      <w:r w:rsidR="0070025E">
        <w:rPr>
          <w:rFonts w:ascii="Calibri" w:hAnsi="Calibri" w:cs="Calibri"/>
          <w:sz w:val="22"/>
          <w:szCs w:val="22"/>
        </w:rPr>
        <w:t>2021</w:t>
      </w:r>
      <w:proofErr w:type="gramEnd"/>
      <w:r w:rsidR="0070025E">
        <w:rPr>
          <w:rFonts w:ascii="Calibri" w:hAnsi="Calibri" w:cs="Calibri"/>
          <w:sz w:val="22"/>
          <w:szCs w:val="22"/>
        </w:rPr>
        <w:t xml:space="preserve"> may, </w:t>
      </w:r>
      <w:r w:rsidR="00C85007">
        <w:rPr>
          <w:rFonts w:ascii="Calibri" w:hAnsi="Calibri" w:cs="Calibri"/>
          <w:sz w:val="22"/>
          <w:szCs w:val="22"/>
        </w:rPr>
        <w:t xml:space="preserve">five years after the date of initial enrollment, </w:t>
      </w:r>
      <w:r w:rsidR="0070025E">
        <w:rPr>
          <w:rFonts w:ascii="Calibri" w:hAnsi="Calibri" w:cs="Calibri"/>
          <w:sz w:val="22"/>
          <w:szCs w:val="22"/>
        </w:rPr>
        <w:t>petition the superior court of the county of conviction</w:t>
      </w:r>
      <w:r w:rsidR="00C85007">
        <w:rPr>
          <w:rFonts w:ascii="Calibri" w:hAnsi="Calibri" w:cs="Calibri"/>
          <w:sz w:val="22"/>
          <w:szCs w:val="22"/>
        </w:rPr>
        <w:t xml:space="preserve"> for </w:t>
      </w:r>
      <w:r w:rsidR="006979C9">
        <w:rPr>
          <w:rFonts w:ascii="Calibri" w:hAnsi="Calibri" w:cs="Calibri"/>
          <w:sz w:val="22"/>
          <w:szCs w:val="22"/>
        </w:rPr>
        <w:t xml:space="preserve">discretionary </w:t>
      </w:r>
      <w:r w:rsidR="00C85007">
        <w:rPr>
          <w:rFonts w:ascii="Calibri" w:hAnsi="Calibri" w:cs="Calibri"/>
          <w:sz w:val="22"/>
          <w:szCs w:val="22"/>
        </w:rPr>
        <w:t>termination or modification of the monitoring requirement</w:t>
      </w:r>
      <w:r w:rsidR="004D02BC">
        <w:rPr>
          <w:rFonts w:ascii="Calibri" w:hAnsi="Calibri" w:cs="Calibri"/>
          <w:sz w:val="22"/>
          <w:szCs w:val="22"/>
        </w:rPr>
        <w:t xml:space="preserve"> as provided in G.S. 14-208.43.</w:t>
      </w:r>
      <w:r w:rsidR="006979C9">
        <w:rPr>
          <w:rFonts w:ascii="Calibri" w:hAnsi="Calibri" w:cs="Calibri"/>
          <w:sz w:val="22"/>
          <w:szCs w:val="22"/>
        </w:rPr>
        <w:t xml:space="preserve"> </w:t>
      </w:r>
      <w:r w:rsidR="004D02BC">
        <w:rPr>
          <w:rFonts w:ascii="Calibri" w:hAnsi="Calibri" w:cs="Calibri"/>
          <w:sz w:val="22"/>
          <w:szCs w:val="22"/>
        </w:rPr>
        <w:t xml:space="preserve"> Defendants </w:t>
      </w:r>
      <w:r w:rsidR="006979C9">
        <w:rPr>
          <w:rFonts w:ascii="Calibri" w:hAnsi="Calibri" w:cs="Calibri"/>
          <w:sz w:val="22"/>
          <w:szCs w:val="22"/>
        </w:rPr>
        <w:t xml:space="preserve">ordered </w:t>
      </w:r>
      <w:r w:rsidR="00B14898">
        <w:rPr>
          <w:rFonts w:ascii="Calibri" w:hAnsi="Calibri" w:cs="Calibri"/>
          <w:sz w:val="22"/>
          <w:szCs w:val="22"/>
        </w:rPr>
        <w:t xml:space="preserve">before December 1, 2021, </w:t>
      </w:r>
      <w:r w:rsidR="006979C9">
        <w:rPr>
          <w:rFonts w:ascii="Calibri" w:hAnsi="Calibri" w:cs="Calibri"/>
          <w:sz w:val="22"/>
          <w:szCs w:val="22"/>
        </w:rPr>
        <w:t xml:space="preserve">to enroll in SBM </w:t>
      </w:r>
      <w:r w:rsidR="00B14898">
        <w:rPr>
          <w:rFonts w:ascii="Calibri" w:hAnsi="Calibri" w:cs="Calibri"/>
          <w:sz w:val="22"/>
          <w:szCs w:val="22"/>
        </w:rPr>
        <w:t xml:space="preserve">for </w:t>
      </w:r>
      <w:r w:rsidR="001D6DE8">
        <w:rPr>
          <w:rFonts w:ascii="Calibri" w:hAnsi="Calibri" w:cs="Calibri"/>
          <w:sz w:val="22"/>
          <w:szCs w:val="22"/>
        </w:rPr>
        <w:t xml:space="preserve">a period longer than 10 years </w:t>
      </w:r>
      <w:r w:rsidR="00B14898">
        <w:rPr>
          <w:rFonts w:ascii="Calibri" w:hAnsi="Calibri" w:cs="Calibri"/>
          <w:sz w:val="22"/>
          <w:szCs w:val="22"/>
        </w:rPr>
        <w:t xml:space="preserve">may petition </w:t>
      </w:r>
      <w:r w:rsidR="005D7008">
        <w:rPr>
          <w:rFonts w:ascii="Calibri" w:hAnsi="Calibri" w:cs="Calibri"/>
          <w:sz w:val="22"/>
          <w:szCs w:val="22"/>
        </w:rPr>
        <w:t xml:space="preserve">the superior court in the county of conviction for mandatory </w:t>
      </w:r>
      <w:r w:rsidR="001D6DE8">
        <w:rPr>
          <w:rFonts w:ascii="Calibri" w:hAnsi="Calibri" w:cs="Calibri"/>
          <w:sz w:val="22"/>
          <w:szCs w:val="22"/>
        </w:rPr>
        <w:t>termination of SBM</w:t>
      </w:r>
      <w:r w:rsidR="00E7043B">
        <w:rPr>
          <w:rFonts w:ascii="Calibri" w:hAnsi="Calibri" w:cs="Calibri"/>
          <w:sz w:val="22"/>
          <w:szCs w:val="22"/>
        </w:rPr>
        <w:t xml:space="preserve"> </w:t>
      </w:r>
      <w:r w:rsidR="000F32BE">
        <w:rPr>
          <w:rFonts w:ascii="Calibri" w:hAnsi="Calibri" w:cs="Calibri"/>
          <w:sz w:val="22"/>
          <w:szCs w:val="22"/>
        </w:rPr>
        <w:t>after 10 years of enrollment as provided in G.S. 14-208.46.</w:t>
      </w:r>
      <w:r w:rsidR="005D7008">
        <w:rPr>
          <w:rFonts w:ascii="Calibri" w:hAnsi="Calibri" w:cs="Calibri"/>
          <w:sz w:val="22"/>
          <w:szCs w:val="22"/>
        </w:rPr>
        <w:t xml:space="preserve"> </w:t>
      </w:r>
    </w:p>
    <w:p w14:paraId="42102F70" w14:textId="77777777" w:rsidR="0007497C" w:rsidRDefault="0007497C" w:rsidP="006B71B8">
      <w:pPr>
        <w:pStyle w:val="ListParagraph"/>
        <w:ind w:left="360"/>
        <w:rPr>
          <w:rFonts w:ascii="Calibri" w:hAnsi="Calibri" w:cs="Calibri"/>
          <w:sz w:val="22"/>
          <w:szCs w:val="22"/>
        </w:rPr>
      </w:pPr>
    </w:p>
    <w:p w14:paraId="3F8C345E" w14:textId="77777777" w:rsidR="0007497C" w:rsidRDefault="0007497C" w:rsidP="006B71B8">
      <w:pPr>
        <w:pStyle w:val="ListParagraph"/>
        <w:ind w:left="360"/>
        <w:rPr>
          <w:rFonts w:ascii="Calibri" w:hAnsi="Calibri" w:cs="Calibri"/>
          <w:sz w:val="22"/>
          <w:szCs w:val="22"/>
        </w:rPr>
      </w:pPr>
    </w:p>
    <w:p w14:paraId="71046035" w14:textId="77777777" w:rsidR="00912C80" w:rsidRDefault="00912C80" w:rsidP="006B71B8">
      <w:pPr>
        <w:pStyle w:val="ListParagraph"/>
        <w:ind w:left="360"/>
        <w:rPr>
          <w:rFonts w:ascii="Calibri" w:hAnsi="Calibri" w:cs="Calibri"/>
          <w:sz w:val="22"/>
          <w:szCs w:val="22"/>
        </w:rPr>
      </w:pPr>
    </w:p>
    <w:p w14:paraId="218ACCD0" w14:textId="77777777" w:rsidR="00912C80" w:rsidRDefault="00912C80" w:rsidP="006B71B8">
      <w:pPr>
        <w:pStyle w:val="ListParagraph"/>
        <w:ind w:left="360"/>
        <w:rPr>
          <w:rFonts w:ascii="Calibri" w:hAnsi="Calibri" w:cs="Calibri"/>
          <w:sz w:val="22"/>
          <w:szCs w:val="22"/>
        </w:rPr>
      </w:pPr>
    </w:p>
    <w:p w14:paraId="011B8FE2" w14:textId="77777777" w:rsidR="00912C80" w:rsidRDefault="00912C80" w:rsidP="006B71B8">
      <w:pPr>
        <w:pStyle w:val="ListParagraph"/>
        <w:ind w:left="360"/>
        <w:rPr>
          <w:rFonts w:ascii="Calibri" w:hAnsi="Calibri" w:cs="Calibri"/>
          <w:sz w:val="22"/>
          <w:szCs w:val="22"/>
        </w:rPr>
      </w:pPr>
    </w:p>
    <w:p w14:paraId="4EC6BC8C" w14:textId="77777777" w:rsidR="00912C80" w:rsidRDefault="00912C80" w:rsidP="006B71B8">
      <w:pPr>
        <w:pStyle w:val="ListParagraph"/>
        <w:ind w:left="360"/>
        <w:rPr>
          <w:rFonts w:ascii="Calibri" w:hAnsi="Calibri" w:cs="Calibri"/>
          <w:sz w:val="22"/>
          <w:szCs w:val="22"/>
        </w:rPr>
      </w:pPr>
    </w:p>
    <w:p w14:paraId="5453227E" w14:textId="77777777" w:rsidR="00912C80" w:rsidRDefault="00912C80" w:rsidP="006B71B8">
      <w:pPr>
        <w:pStyle w:val="ListParagraph"/>
        <w:ind w:left="360"/>
        <w:rPr>
          <w:rFonts w:ascii="Calibri" w:hAnsi="Calibri" w:cs="Calibri"/>
          <w:sz w:val="22"/>
          <w:szCs w:val="22"/>
        </w:rPr>
      </w:pPr>
    </w:p>
    <w:p w14:paraId="1DAD86A4" w14:textId="77777777" w:rsidR="00912C80" w:rsidRDefault="00912C80" w:rsidP="006B71B8">
      <w:pPr>
        <w:pStyle w:val="ListParagraph"/>
        <w:ind w:left="360"/>
        <w:rPr>
          <w:rFonts w:ascii="Calibri" w:hAnsi="Calibri" w:cs="Calibri"/>
          <w:sz w:val="22"/>
          <w:szCs w:val="22"/>
        </w:rPr>
      </w:pPr>
    </w:p>
    <w:p w14:paraId="6782FB63" w14:textId="77777777" w:rsidR="00912C80" w:rsidRDefault="00912C80" w:rsidP="006B71B8">
      <w:pPr>
        <w:pStyle w:val="ListParagraph"/>
        <w:ind w:left="360"/>
        <w:rPr>
          <w:rFonts w:ascii="Calibri" w:hAnsi="Calibri" w:cs="Calibri"/>
          <w:sz w:val="22"/>
          <w:szCs w:val="22"/>
        </w:rPr>
      </w:pPr>
    </w:p>
    <w:p w14:paraId="530620B5" w14:textId="77777777" w:rsidR="00912C80" w:rsidRDefault="00912C80" w:rsidP="006B71B8">
      <w:pPr>
        <w:pStyle w:val="ListParagraph"/>
        <w:ind w:left="360"/>
        <w:rPr>
          <w:rFonts w:ascii="Calibri" w:hAnsi="Calibri" w:cs="Calibri"/>
          <w:sz w:val="22"/>
          <w:szCs w:val="22"/>
        </w:rPr>
      </w:pPr>
    </w:p>
    <w:p w14:paraId="7EC8D9F9" w14:textId="77777777" w:rsidR="00912C80" w:rsidRDefault="00912C80" w:rsidP="006B71B8">
      <w:pPr>
        <w:pStyle w:val="ListParagraph"/>
        <w:ind w:left="360"/>
        <w:rPr>
          <w:rFonts w:ascii="Calibri" w:hAnsi="Calibri" w:cs="Calibri"/>
          <w:sz w:val="22"/>
          <w:szCs w:val="22"/>
        </w:rPr>
      </w:pPr>
    </w:p>
    <w:p w14:paraId="2C043ADF" w14:textId="77777777" w:rsidR="00912C80" w:rsidRDefault="00912C80" w:rsidP="006B71B8">
      <w:pPr>
        <w:pStyle w:val="ListParagraph"/>
        <w:ind w:left="360"/>
        <w:rPr>
          <w:rFonts w:ascii="Calibri" w:hAnsi="Calibri" w:cs="Calibri"/>
          <w:sz w:val="22"/>
          <w:szCs w:val="22"/>
        </w:rPr>
      </w:pPr>
    </w:p>
    <w:p w14:paraId="4B605014" w14:textId="77777777" w:rsidR="00912C80" w:rsidRDefault="00912C80" w:rsidP="006B71B8">
      <w:pPr>
        <w:pStyle w:val="ListParagraph"/>
        <w:ind w:left="360"/>
        <w:rPr>
          <w:rFonts w:ascii="Calibri" w:hAnsi="Calibri" w:cs="Calibri"/>
          <w:sz w:val="22"/>
          <w:szCs w:val="22"/>
        </w:rPr>
      </w:pPr>
    </w:p>
    <w:p w14:paraId="4172DC9B" w14:textId="77777777" w:rsidR="00912C80" w:rsidRDefault="00912C80" w:rsidP="006B71B8">
      <w:pPr>
        <w:pStyle w:val="ListParagraph"/>
        <w:ind w:left="360"/>
        <w:rPr>
          <w:rFonts w:ascii="Calibri" w:hAnsi="Calibri" w:cs="Calibri"/>
          <w:sz w:val="22"/>
          <w:szCs w:val="22"/>
        </w:rPr>
      </w:pPr>
    </w:p>
    <w:p w14:paraId="23F4982C" w14:textId="7B425EE7" w:rsidR="00912C80" w:rsidRDefault="00912C80" w:rsidP="006B71B8">
      <w:pPr>
        <w:pStyle w:val="ListParagraph"/>
        <w:ind w:left="360"/>
        <w:rPr>
          <w:rFonts w:ascii="Calibri" w:hAnsi="Calibri" w:cs="Calibri"/>
          <w:sz w:val="22"/>
          <w:szCs w:val="22"/>
        </w:rPr>
      </w:pPr>
    </w:p>
    <w:p w14:paraId="068E8BA5" w14:textId="77777777" w:rsidR="00912C80" w:rsidRDefault="00912C80" w:rsidP="006B71B8">
      <w:pPr>
        <w:pStyle w:val="ListParagraph"/>
        <w:ind w:left="360"/>
        <w:rPr>
          <w:rFonts w:ascii="Calibri" w:hAnsi="Calibri" w:cs="Calibri"/>
          <w:sz w:val="22"/>
          <w:szCs w:val="22"/>
        </w:rPr>
      </w:pPr>
    </w:p>
    <w:p w14:paraId="07510AD4" w14:textId="77777777" w:rsidR="00912C80" w:rsidRDefault="00912C80" w:rsidP="006B71B8">
      <w:pPr>
        <w:pStyle w:val="ListParagraph"/>
        <w:ind w:left="360"/>
        <w:rPr>
          <w:rFonts w:ascii="Calibri" w:hAnsi="Calibri" w:cs="Calibri"/>
          <w:sz w:val="22"/>
          <w:szCs w:val="22"/>
        </w:rPr>
      </w:pPr>
    </w:p>
    <w:p w14:paraId="1CA72A9F" w14:textId="77777777" w:rsidR="00912C80" w:rsidRDefault="00912C80" w:rsidP="006B71B8">
      <w:pPr>
        <w:pStyle w:val="ListParagraph"/>
        <w:ind w:left="360"/>
        <w:rPr>
          <w:rFonts w:ascii="Calibri" w:hAnsi="Calibri" w:cs="Calibri"/>
          <w:sz w:val="22"/>
          <w:szCs w:val="22"/>
        </w:rPr>
      </w:pPr>
    </w:p>
    <w:p w14:paraId="244AA7F4" w14:textId="77777777" w:rsidR="00912C80" w:rsidRDefault="00912C80" w:rsidP="006B71B8">
      <w:pPr>
        <w:pStyle w:val="ListParagraph"/>
        <w:ind w:left="360"/>
        <w:rPr>
          <w:rFonts w:ascii="Calibri" w:hAnsi="Calibri" w:cs="Calibri"/>
          <w:sz w:val="22"/>
          <w:szCs w:val="22"/>
        </w:rPr>
      </w:pPr>
    </w:p>
    <w:p w14:paraId="74B936D1" w14:textId="77777777" w:rsidR="00912C80" w:rsidRDefault="00912C80" w:rsidP="006B71B8">
      <w:pPr>
        <w:pStyle w:val="ListParagraph"/>
        <w:ind w:left="360"/>
        <w:rPr>
          <w:rFonts w:ascii="Calibri" w:hAnsi="Calibri" w:cs="Calibri"/>
          <w:sz w:val="22"/>
          <w:szCs w:val="22"/>
        </w:rPr>
      </w:pPr>
    </w:p>
    <w:p w14:paraId="3A1F99A1" w14:textId="77777777" w:rsidR="00912C80" w:rsidRDefault="00912C80" w:rsidP="006B71B8">
      <w:pPr>
        <w:pStyle w:val="ListParagraph"/>
        <w:ind w:left="360"/>
        <w:rPr>
          <w:rFonts w:ascii="Calibri" w:hAnsi="Calibri" w:cs="Calibri"/>
          <w:sz w:val="22"/>
          <w:szCs w:val="22"/>
        </w:rPr>
      </w:pPr>
    </w:p>
    <w:p w14:paraId="13797A5E" w14:textId="77777777" w:rsidR="00912C80" w:rsidRDefault="00912C80" w:rsidP="006B71B8">
      <w:pPr>
        <w:pStyle w:val="ListParagraph"/>
        <w:ind w:left="360"/>
        <w:rPr>
          <w:rFonts w:ascii="Calibri" w:hAnsi="Calibri" w:cs="Calibri"/>
          <w:sz w:val="22"/>
          <w:szCs w:val="22"/>
        </w:rPr>
      </w:pPr>
    </w:p>
    <w:p w14:paraId="7075B4C6" w14:textId="77777777" w:rsidR="00912C80" w:rsidRDefault="00912C80" w:rsidP="006B71B8">
      <w:pPr>
        <w:pStyle w:val="ListParagraph"/>
        <w:ind w:left="360"/>
        <w:rPr>
          <w:rFonts w:ascii="Calibri" w:hAnsi="Calibri" w:cs="Calibri"/>
          <w:sz w:val="22"/>
          <w:szCs w:val="22"/>
        </w:rPr>
      </w:pPr>
    </w:p>
    <w:p w14:paraId="49FEE16A" w14:textId="77777777" w:rsidR="00912C80" w:rsidRDefault="00912C80" w:rsidP="006B71B8">
      <w:pPr>
        <w:pStyle w:val="ListParagraph"/>
        <w:ind w:left="360"/>
        <w:rPr>
          <w:rFonts w:ascii="Calibri" w:hAnsi="Calibri" w:cs="Calibri"/>
          <w:sz w:val="22"/>
          <w:szCs w:val="22"/>
        </w:rPr>
      </w:pPr>
    </w:p>
    <w:p w14:paraId="5BB12862" w14:textId="77777777" w:rsidR="00912C80" w:rsidRDefault="00912C80" w:rsidP="006B71B8">
      <w:pPr>
        <w:pStyle w:val="ListParagraph"/>
        <w:ind w:left="360"/>
        <w:rPr>
          <w:rFonts w:ascii="Calibri" w:hAnsi="Calibri" w:cs="Calibri"/>
          <w:sz w:val="22"/>
          <w:szCs w:val="22"/>
        </w:rPr>
      </w:pPr>
    </w:p>
    <w:p w14:paraId="0152A8A3" w14:textId="77777777" w:rsidR="00912C80" w:rsidRDefault="00912C80" w:rsidP="006B71B8">
      <w:pPr>
        <w:pStyle w:val="ListParagraph"/>
        <w:ind w:left="360"/>
        <w:rPr>
          <w:rFonts w:ascii="Calibri" w:hAnsi="Calibri" w:cs="Calibri"/>
          <w:sz w:val="22"/>
          <w:szCs w:val="22"/>
        </w:rPr>
      </w:pPr>
    </w:p>
    <w:p w14:paraId="61AB2779" w14:textId="77777777" w:rsidR="00912C80" w:rsidRDefault="00912C80" w:rsidP="006B71B8">
      <w:pPr>
        <w:pStyle w:val="ListParagraph"/>
        <w:ind w:left="360"/>
        <w:rPr>
          <w:rFonts w:ascii="Calibri" w:hAnsi="Calibri" w:cs="Calibri"/>
          <w:sz w:val="22"/>
          <w:szCs w:val="22"/>
        </w:rPr>
      </w:pPr>
    </w:p>
    <w:p w14:paraId="35D4EF83" w14:textId="77777777" w:rsidR="00912C80" w:rsidRDefault="00912C80" w:rsidP="006B71B8">
      <w:pPr>
        <w:pStyle w:val="ListParagraph"/>
        <w:ind w:left="360"/>
        <w:rPr>
          <w:rFonts w:ascii="Calibri" w:hAnsi="Calibri" w:cs="Calibri"/>
          <w:sz w:val="22"/>
          <w:szCs w:val="22"/>
        </w:rPr>
      </w:pPr>
    </w:p>
    <w:p w14:paraId="268CBDFC" w14:textId="1E6426D9" w:rsidR="0007497C" w:rsidRDefault="0007497C" w:rsidP="006B71B8">
      <w:pPr>
        <w:pStyle w:val="ListParagraph"/>
        <w:ind w:left="360"/>
        <w:rPr>
          <w:rFonts w:ascii="Calibri" w:hAnsi="Calibri" w:cs="Calibri"/>
          <w:sz w:val="22"/>
          <w:szCs w:val="22"/>
        </w:rPr>
      </w:pPr>
      <w:r>
        <w:rPr>
          <w:rFonts w:ascii="Calibri" w:hAnsi="Calibri" w:cs="Calibri"/>
          <w:sz w:val="22"/>
          <w:szCs w:val="22"/>
        </w:rPr>
        <w:t>Prepared by Jamie Markham</w:t>
      </w:r>
    </w:p>
    <w:p w14:paraId="0FD7801F" w14:textId="622AC8BF" w:rsidR="0007497C" w:rsidRPr="0070025E" w:rsidRDefault="0007497C" w:rsidP="006B71B8">
      <w:pPr>
        <w:pStyle w:val="ListParagraph"/>
        <w:ind w:left="360"/>
        <w:rPr>
          <w:rFonts w:ascii="Calibri" w:hAnsi="Calibri" w:cs="Calibri"/>
          <w:sz w:val="22"/>
          <w:szCs w:val="22"/>
        </w:rPr>
      </w:pPr>
      <w:r>
        <w:rPr>
          <w:rFonts w:ascii="Calibri" w:hAnsi="Calibri" w:cs="Calibri"/>
          <w:sz w:val="22"/>
          <w:szCs w:val="22"/>
        </w:rPr>
        <w:t xml:space="preserve">© </w:t>
      </w:r>
      <w:r w:rsidR="00AD5147">
        <w:rPr>
          <w:rFonts w:ascii="Calibri" w:hAnsi="Calibri" w:cs="Calibri"/>
          <w:sz w:val="22"/>
          <w:szCs w:val="22"/>
        </w:rPr>
        <w:t>2026 UNC School of Government</w:t>
      </w:r>
    </w:p>
    <w:sectPr w:rsidR="0007497C" w:rsidRPr="0070025E" w:rsidSect="00034DDF">
      <w:footerReference w:type="default" r:id="rId8"/>
      <w:endnotePr>
        <w:numFmt w:val="lowerLetter"/>
      </w:endnotePr>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68B6" w14:textId="77777777" w:rsidR="00AA0689" w:rsidRDefault="00AA0689" w:rsidP="00814E86">
      <w:pPr>
        <w:spacing w:line="240" w:lineRule="auto"/>
      </w:pPr>
      <w:r>
        <w:separator/>
      </w:r>
    </w:p>
  </w:endnote>
  <w:endnote w:type="continuationSeparator" w:id="0">
    <w:p w14:paraId="1107589C" w14:textId="77777777" w:rsidR="00AA0689" w:rsidRDefault="00AA0689" w:rsidP="0081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Warnock Pro">
    <w:altName w:val="Calibri"/>
    <w:panose1 w:val="020B0604020202020204"/>
    <w:charset w:val="00"/>
    <w:family w:val="auto"/>
    <w:pitch w:val="default"/>
  </w:font>
  <w:font w:name="Barlow">
    <w:panose1 w:val="00000500000000000000"/>
    <w:charset w:val="00"/>
    <w:family w:val="auto"/>
    <w:pitch w:val="variable"/>
    <w:sig w:usb0="20000007" w:usb1="00000000" w:usb2="00000000" w:usb3="00000000" w:csb0="00000193" w:csb1="00000000"/>
  </w:font>
  <w:font w:name="Barlow Medium">
    <w:panose1 w:val="00000600000000000000"/>
    <w:charset w:val="00"/>
    <w:family w:val="auto"/>
    <w:pitch w:val="variable"/>
    <w:sig w:usb0="20000007" w:usb1="00000000" w:usb2="00000000" w:usb3="00000000" w:csb0="00000193" w:csb1="00000000"/>
  </w:font>
  <w:font w:name="Source Sans Pro">
    <w:panose1 w:val="020B0503030403020204"/>
    <w:charset w:val="00"/>
    <w:family w:val="swiss"/>
    <w:pitch w:val="variable"/>
    <w:sig w:usb0="600002F7" w:usb1="02000001" w:usb2="00000000" w:usb3="00000000" w:csb0="0000019F" w:csb1="00000000"/>
  </w:font>
  <w:font w:name="Apple Symbols">
    <w:panose1 w:val="02000000000000000000"/>
    <w:charset w:val="B1"/>
    <w:family w:val="auto"/>
    <w:pitch w:val="variable"/>
    <w:sig w:usb0="800008A3" w:usb1="08007BEB" w:usb2="01840034"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23254"/>
      <w:docPartObj>
        <w:docPartGallery w:val="Page Numbers (Bottom of Page)"/>
        <w:docPartUnique/>
      </w:docPartObj>
    </w:sdtPr>
    <w:sdtEndPr>
      <w:rPr>
        <w:noProof/>
      </w:rPr>
    </w:sdtEndPr>
    <w:sdtContent>
      <w:p w14:paraId="32BB1FAC" w14:textId="41C6CBE8" w:rsidR="00814E86" w:rsidRDefault="00814E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8C03E" w14:textId="77777777" w:rsidR="00814E86" w:rsidRDefault="00814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BB74" w14:textId="77777777" w:rsidR="00AA0689" w:rsidRDefault="00AA0689" w:rsidP="00814E86">
      <w:pPr>
        <w:spacing w:line="240" w:lineRule="auto"/>
      </w:pPr>
      <w:r>
        <w:separator/>
      </w:r>
    </w:p>
  </w:footnote>
  <w:footnote w:type="continuationSeparator" w:id="0">
    <w:p w14:paraId="21BC4F91" w14:textId="77777777" w:rsidR="00AA0689" w:rsidRDefault="00AA0689" w:rsidP="00814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42663"/>
    <w:multiLevelType w:val="hybridMultilevel"/>
    <w:tmpl w:val="68F03BD6"/>
    <w:lvl w:ilvl="0" w:tplc="BA8C23BC">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593452"/>
    <w:multiLevelType w:val="hybridMultilevel"/>
    <w:tmpl w:val="25D25ABC"/>
    <w:lvl w:ilvl="0" w:tplc="F3A6A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6E6A4F"/>
    <w:multiLevelType w:val="hybridMultilevel"/>
    <w:tmpl w:val="87AAFE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E658A"/>
    <w:multiLevelType w:val="hybridMultilevel"/>
    <w:tmpl w:val="49A47A0A"/>
    <w:lvl w:ilvl="0" w:tplc="A0CC2EE8">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9A2735"/>
    <w:multiLevelType w:val="multilevel"/>
    <w:tmpl w:val="BE4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7B5CBC"/>
    <w:multiLevelType w:val="hybridMultilevel"/>
    <w:tmpl w:val="11880598"/>
    <w:lvl w:ilvl="0" w:tplc="EA74F74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4C053C"/>
    <w:multiLevelType w:val="hybridMultilevel"/>
    <w:tmpl w:val="31B2F2C4"/>
    <w:lvl w:ilvl="0" w:tplc="0110FD5C">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B663A9"/>
    <w:multiLevelType w:val="singleLevel"/>
    <w:tmpl w:val="A2B6B5B2"/>
    <w:lvl w:ilvl="0">
      <w:start w:val="1"/>
      <w:numFmt w:val="none"/>
      <w:pStyle w:val="headappendix"/>
      <w:suff w:val="nothing"/>
      <w:lvlText w:val="Appendix "/>
      <w:lvlJc w:val="left"/>
      <w:pPr>
        <w:ind w:left="359" w:hanging="240"/>
      </w:pPr>
    </w:lvl>
  </w:abstractNum>
  <w:abstractNum w:abstractNumId="8" w15:restartNumberingAfterBreak="0">
    <w:nsid w:val="78DD1847"/>
    <w:multiLevelType w:val="hybridMultilevel"/>
    <w:tmpl w:val="D88CF9FA"/>
    <w:lvl w:ilvl="0" w:tplc="E540790C">
      <w:start w:val="1"/>
      <w:numFmt w:val="decimal"/>
      <w:lvlText w:val="%1."/>
      <w:lvlJc w:val="left"/>
      <w:pPr>
        <w:ind w:left="360" w:hanging="360"/>
      </w:pPr>
      <w:rPr>
        <w:rFonts w:hint="default"/>
      </w:rPr>
    </w:lvl>
    <w:lvl w:ilvl="1" w:tplc="A7BC6FB4">
      <w:start w:val="1"/>
      <w:numFmt w:val="upperLetter"/>
      <w:lvlText w:val="%2."/>
      <w:lvlJc w:val="left"/>
      <w:pPr>
        <w:ind w:left="1080" w:hanging="360"/>
      </w:pPr>
      <w:rPr>
        <w:rFonts w:ascii="Calibri" w:eastAsiaTheme="minorHAnsi" w:hAnsi="Calibri" w:cs="Calibr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3809943">
    <w:abstractNumId w:val="7"/>
  </w:num>
  <w:num w:numId="2" w16cid:durableId="520902621">
    <w:abstractNumId w:val="1"/>
  </w:num>
  <w:num w:numId="3" w16cid:durableId="1451708983">
    <w:abstractNumId w:val="5"/>
  </w:num>
  <w:num w:numId="4" w16cid:durableId="119148946">
    <w:abstractNumId w:val="3"/>
  </w:num>
  <w:num w:numId="5" w16cid:durableId="1329867424">
    <w:abstractNumId w:val="8"/>
  </w:num>
  <w:num w:numId="6" w16cid:durableId="1139035136">
    <w:abstractNumId w:val="6"/>
  </w:num>
  <w:num w:numId="7" w16cid:durableId="1852987644">
    <w:abstractNumId w:val="4"/>
  </w:num>
  <w:num w:numId="8" w16cid:durableId="1572231098">
    <w:abstractNumId w:val="2"/>
  </w:num>
  <w:num w:numId="9" w16cid:durableId="51677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E3"/>
    <w:rsid w:val="0000651D"/>
    <w:rsid w:val="00007B6C"/>
    <w:rsid w:val="00007EE3"/>
    <w:rsid w:val="000119A7"/>
    <w:rsid w:val="00020840"/>
    <w:rsid w:val="00032F14"/>
    <w:rsid w:val="00033314"/>
    <w:rsid w:val="000337EB"/>
    <w:rsid w:val="00034DDF"/>
    <w:rsid w:val="00045F0D"/>
    <w:rsid w:val="00054450"/>
    <w:rsid w:val="0007497C"/>
    <w:rsid w:val="00074EC5"/>
    <w:rsid w:val="0009353D"/>
    <w:rsid w:val="00097EEA"/>
    <w:rsid w:val="000A26E6"/>
    <w:rsid w:val="000A2F2A"/>
    <w:rsid w:val="000E6E21"/>
    <w:rsid w:val="000F32BE"/>
    <w:rsid w:val="000F51D5"/>
    <w:rsid w:val="000F5EC4"/>
    <w:rsid w:val="00107B47"/>
    <w:rsid w:val="00115869"/>
    <w:rsid w:val="00120343"/>
    <w:rsid w:val="00120C24"/>
    <w:rsid w:val="001217A1"/>
    <w:rsid w:val="00125721"/>
    <w:rsid w:val="0013460A"/>
    <w:rsid w:val="0014478D"/>
    <w:rsid w:val="00154C63"/>
    <w:rsid w:val="00155656"/>
    <w:rsid w:val="00174031"/>
    <w:rsid w:val="00176204"/>
    <w:rsid w:val="00182A76"/>
    <w:rsid w:val="00182B6A"/>
    <w:rsid w:val="001A0E88"/>
    <w:rsid w:val="001B1848"/>
    <w:rsid w:val="001B3199"/>
    <w:rsid w:val="001D079B"/>
    <w:rsid w:val="001D6DE8"/>
    <w:rsid w:val="001E2461"/>
    <w:rsid w:val="00206395"/>
    <w:rsid w:val="00211099"/>
    <w:rsid w:val="0021145C"/>
    <w:rsid w:val="00222ED3"/>
    <w:rsid w:val="0022414C"/>
    <w:rsid w:val="0022667E"/>
    <w:rsid w:val="00235D53"/>
    <w:rsid w:val="00237945"/>
    <w:rsid w:val="00241C8E"/>
    <w:rsid w:val="00243A94"/>
    <w:rsid w:val="00252F7A"/>
    <w:rsid w:val="00261C04"/>
    <w:rsid w:val="002621FF"/>
    <w:rsid w:val="0026551B"/>
    <w:rsid w:val="00271294"/>
    <w:rsid w:val="0027519F"/>
    <w:rsid w:val="00276FA8"/>
    <w:rsid w:val="00292F50"/>
    <w:rsid w:val="00295142"/>
    <w:rsid w:val="002965D8"/>
    <w:rsid w:val="002A0B08"/>
    <w:rsid w:val="002C025A"/>
    <w:rsid w:val="002E0A55"/>
    <w:rsid w:val="002E2F3F"/>
    <w:rsid w:val="002F65FB"/>
    <w:rsid w:val="003009FE"/>
    <w:rsid w:val="00302566"/>
    <w:rsid w:val="003050E8"/>
    <w:rsid w:val="0031352E"/>
    <w:rsid w:val="00322643"/>
    <w:rsid w:val="003335F4"/>
    <w:rsid w:val="00342625"/>
    <w:rsid w:val="003605C1"/>
    <w:rsid w:val="00365A01"/>
    <w:rsid w:val="00367595"/>
    <w:rsid w:val="00381658"/>
    <w:rsid w:val="003B11CC"/>
    <w:rsid w:val="003B17E1"/>
    <w:rsid w:val="003B1C14"/>
    <w:rsid w:val="003B6E00"/>
    <w:rsid w:val="003D4085"/>
    <w:rsid w:val="003E7555"/>
    <w:rsid w:val="003F3AAD"/>
    <w:rsid w:val="0041299A"/>
    <w:rsid w:val="00414491"/>
    <w:rsid w:val="0042379C"/>
    <w:rsid w:val="00424896"/>
    <w:rsid w:val="004255F8"/>
    <w:rsid w:val="00426A26"/>
    <w:rsid w:val="0042797A"/>
    <w:rsid w:val="00435086"/>
    <w:rsid w:val="00437878"/>
    <w:rsid w:val="0044176D"/>
    <w:rsid w:val="0045288D"/>
    <w:rsid w:val="00457888"/>
    <w:rsid w:val="0046082E"/>
    <w:rsid w:val="00466CDF"/>
    <w:rsid w:val="00471180"/>
    <w:rsid w:val="00472DE3"/>
    <w:rsid w:val="00473A8C"/>
    <w:rsid w:val="004759EC"/>
    <w:rsid w:val="004819EB"/>
    <w:rsid w:val="004842E7"/>
    <w:rsid w:val="00485746"/>
    <w:rsid w:val="004862F0"/>
    <w:rsid w:val="004B2B21"/>
    <w:rsid w:val="004B64FE"/>
    <w:rsid w:val="004C08EA"/>
    <w:rsid w:val="004C1A41"/>
    <w:rsid w:val="004C4536"/>
    <w:rsid w:val="004C5726"/>
    <w:rsid w:val="004D01AA"/>
    <w:rsid w:val="004D02BC"/>
    <w:rsid w:val="004D6DF8"/>
    <w:rsid w:val="004F0AF3"/>
    <w:rsid w:val="005004BA"/>
    <w:rsid w:val="00510359"/>
    <w:rsid w:val="00510987"/>
    <w:rsid w:val="00513129"/>
    <w:rsid w:val="005131F4"/>
    <w:rsid w:val="0051446E"/>
    <w:rsid w:val="00550B29"/>
    <w:rsid w:val="00550B7A"/>
    <w:rsid w:val="005726B7"/>
    <w:rsid w:val="00582DC1"/>
    <w:rsid w:val="005917BC"/>
    <w:rsid w:val="00595344"/>
    <w:rsid w:val="00595472"/>
    <w:rsid w:val="005B10ED"/>
    <w:rsid w:val="005B4760"/>
    <w:rsid w:val="005D032C"/>
    <w:rsid w:val="005D7008"/>
    <w:rsid w:val="005E1030"/>
    <w:rsid w:val="005E1BA1"/>
    <w:rsid w:val="005E44F3"/>
    <w:rsid w:val="005F29A2"/>
    <w:rsid w:val="006006BB"/>
    <w:rsid w:val="00603EC5"/>
    <w:rsid w:val="00605A36"/>
    <w:rsid w:val="00612C8B"/>
    <w:rsid w:val="006132C2"/>
    <w:rsid w:val="00622523"/>
    <w:rsid w:val="00637B61"/>
    <w:rsid w:val="0065619B"/>
    <w:rsid w:val="0065765D"/>
    <w:rsid w:val="006810B5"/>
    <w:rsid w:val="006979C9"/>
    <w:rsid w:val="006A2906"/>
    <w:rsid w:val="006A63DF"/>
    <w:rsid w:val="006B17AC"/>
    <w:rsid w:val="006B71B8"/>
    <w:rsid w:val="006C7DB7"/>
    <w:rsid w:val="006D1034"/>
    <w:rsid w:val="006D1FA1"/>
    <w:rsid w:val="006E1E76"/>
    <w:rsid w:val="006F3786"/>
    <w:rsid w:val="0070025E"/>
    <w:rsid w:val="00700632"/>
    <w:rsid w:val="00710D53"/>
    <w:rsid w:val="007157C2"/>
    <w:rsid w:val="007200FF"/>
    <w:rsid w:val="00734025"/>
    <w:rsid w:val="007346C8"/>
    <w:rsid w:val="00746F43"/>
    <w:rsid w:val="00751416"/>
    <w:rsid w:val="00757BDC"/>
    <w:rsid w:val="00775D29"/>
    <w:rsid w:val="00785485"/>
    <w:rsid w:val="0079213E"/>
    <w:rsid w:val="00792B95"/>
    <w:rsid w:val="00793DA8"/>
    <w:rsid w:val="007949EF"/>
    <w:rsid w:val="007A4A4F"/>
    <w:rsid w:val="007B1902"/>
    <w:rsid w:val="007B4386"/>
    <w:rsid w:val="007B684B"/>
    <w:rsid w:val="007D6985"/>
    <w:rsid w:val="00802511"/>
    <w:rsid w:val="00803F53"/>
    <w:rsid w:val="00805409"/>
    <w:rsid w:val="008147CF"/>
    <w:rsid w:val="00814E86"/>
    <w:rsid w:val="00820B39"/>
    <w:rsid w:val="00820BB9"/>
    <w:rsid w:val="00842A3B"/>
    <w:rsid w:val="00850DDF"/>
    <w:rsid w:val="008557BF"/>
    <w:rsid w:val="00865113"/>
    <w:rsid w:val="00876B1D"/>
    <w:rsid w:val="008900A5"/>
    <w:rsid w:val="008B79B5"/>
    <w:rsid w:val="008C1F93"/>
    <w:rsid w:val="008C3598"/>
    <w:rsid w:val="008E1547"/>
    <w:rsid w:val="00904B90"/>
    <w:rsid w:val="0091148A"/>
    <w:rsid w:val="00912C80"/>
    <w:rsid w:val="00914140"/>
    <w:rsid w:val="00917004"/>
    <w:rsid w:val="00932BF8"/>
    <w:rsid w:val="00941758"/>
    <w:rsid w:val="00943794"/>
    <w:rsid w:val="00944B51"/>
    <w:rsid w:val="00944C8A"/>
    <w:rsid w:val="00961A19"/>
    <w:rsid w:val="0097337C"/>
    <w:rsid w:val="00975710"/>
    <w:rsid w:val="00982548"/>
    <w:rsid w:val="00985F2E"/>
    <w:rsid w:val="0099546F"/>
    <w:rsid w:val="009A0F3A"/>
    <w:rsid w:val="009A2DBA"/>
    <w:rsid w:val="009A36C5"/>
    <w:rsid w:val="009B7ABB"/>
    <w:rsid w:val="009C1158"/>
    <w:rsid w:val="009E15B1"/>
    <w:rsid w:val="009E4159"/>
    <w:rsid w:val="009F0205"/>
    <w:rsid w:val="009F5F87"/>
    <w:rsid w:val="00A0357E"/>
    <w:rsid w:val="00A17246"/>
    <w:rsid w:val="00A1754C"/>
    <w:rsid w:val="00A4245E"/>
    <w:rsid w:val="00A72EE4"/>
    <w:rsid w:val="00A74A08"/>
    <w:rsid w:val="00AA0689"/>
    <w:rsid w:val="00AA0EDF"/>
    <w:rsid w:val="00AD5147"/>
    <w:rsid w:val="00AD7C44"/>
    <w:rsid w:val="00AE56FD"/>
    <w:rsid w:val="00AE6D43"/>
    <w:rsid w:val="00AF2591"/>
    <w:rsid w:val="00AF2D8A"/>
    <w:rsid w:val="00B009DA"/>
    <w:rsid w:val="00B14898"/>
    <w:rsid w:val="00B20351"/>
    <w:rsid w:val="00B2070D"/>
    <w:rsid w:val="00B20853"/>
    <w:rsid w:val="00B24171"/>
    <w:rsid w:val="00B433FD"/>
    <w:rsid w:val="00B52E4D"/>
    <w:rsid w:val="00B54B80"/>
    <w:rsid w:val="00B72987"/>
    <w:rsid w:val="00B77A3E"/>
    <w:rsid w:val="00B82C34"/>
    <w:rsid w:val="00B84E89"/>
    <w:rsid w:val="00B901D7"/>
    <w:rsid w:val="00B96DE3"/>
    <w:rsid w:val="00BA5B86"/>
    <w:rsid w:val="00BC1474"/>
    <w:rsid w:val="00BC7090"/>
    <w:rsid w:val="00BD08F8"/>
    <w:rsid w:val="00BD5E11"/>
    <w:rsid w:val="00BE6452"/>
    <w:rsid w:val="00BF4C60"/>
    <w:rsid w:val="00C008F4"/>
    <w:rsid w:val="00C03D36"/>
    <w:rsid w:val="00C12BA8"/>
    <w:rsid w:val="00C36DA3"/>
    <w:rsid w:val="00C3778B"/>
    <w:rsid w:val="00C476A3"/>
    <w:rsid w:val="00C52603"/>
    <w:rsid w:val="00C64F42"/>
    <w:rsid w:val="00C671EE"/>
    <w:rsid w:val="00C72D68"/>
    <w:rsid w:val="00C73524"/>
    <w:rsid w:val="00C736FF"/>
    <w:rsid w:val="00C73E77"/>
    <w:rsid w:val="00C76F17"/>
    <w:rsid w:val="00C85007"/>
    <w:rsid w:val="00C964BF"/>
    <w:rsid w:val="00CC0BE5"/>
    <w:rsid w:val="00CC3CC9"/>
    <w:rsid w:val="00CD2891"/>
    <w:rsid w:val="00CD3472"/>
    <w:rsid w:val="00CD57A1"/>
    <w:rsid w:val="00D0026B"/>
    <w:rsid w:val="00D12C8F"/>
    <w:rsid w:val="00D2011B"/>
    <w:rsid w:val="00D26AB5"/>
    <w:rsid w:val="00D51DCD"/>
    <w:rsid w:val="00D56007"/>
    <w:rsid w:val="00D60C3D"/>
    <w:rsid w:val="00D746C6"/>
    <w:rsid w:val="00D81BFB"/>
    <w:rsid w:val="00D86F7F"/>
    <w:rsid w:val="00D90B11"/>
    <w:rsid w:val="00D94DD0"/>
    <w:rsid w:val="00DE1446"/>
    <w:rsid w:val="00DE7FA2"/>
    <w:rsid w:val="00DF11CF"/>
    <w:rsid w:val="00E14CE2"/>
    <w:rsid w:val="00E26D40"/>
    <w:rsid w:val="00E511CE"/>
    <w:rsid w:val="00E566A5"/>
    <w:rsid w:val="00E7043B"/>
    <w:rsid w:val="00E8207A"/>
    <w:rsid w:val="00E873DE"/>
    <w:rsid w:val="00E87E57"/>
    <w:rsid w:val="00E91ADD"/>
    <w:rsid w:val="00E95697"/>
    <w:rsid w:val="00EA1B77"/>
    <w:rsid w:val="00EA20A3"/>
    <w:rsid w:val="00EA3332"/>
    <w:rsid w:val="00EB5ACF"/>
    <w:rsid w:val="00EC2B5E"/>
    <w:rsid w:val="00ED4BE3"/>
    <w:rsid w:val="00EE2258"/>
    <w:rsid w:val="00EF6582"/>
    <w:rsid w:val="00F16B46"/>
    <w:rsid w:val="00F26ACC"/>
    <w:rsid w:val="00F32D57"/>
    <w:rsid w:val="00F3572D"/>
    <w:rsid w:val="00F36048"/>
    <w:rsid w:val="00F47791"/>
    <w:rsid w:val="00F53B54"/>
    <w:rsid w:val="00F629FC"/>
    <w:rsid w:val="00F66837"/>
    <w:rsid w:val="00F669E5"/>
    <w:rsid w:val="00F7335E"/>
    <w:rsid w:val="00F7498C"/>
    <w:rsid w:val="00F76650"/>
    <w:rsid w:val="00F848C1"/>
    <w:rsid w:val="00F90437"/>
    <w:rsid w:val="00F930FF"/>
    <w:rsid w:val="00F937E4"/>
    <w:rsid w:val="00F93C9C"/>
    <w:rsid w:val="00F93E36"/>
    <w:rsid w:val="00FB2091"/>
    <w:rsid w:val="00FB487E"/>
    <w:rsid w:val="00FC2F39"/>
    <w:rsid w:val="00FC40EE"/>
    <w:rsid w:val="00FC638D"/>
    <w:rsid w:val="00FE7D63"/>
    <w:rsid w:val="00FF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3720"/>
  <w15:docId w15:val="{659A870D-A1A8-E14C-AC99-F536C08E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style>
  <w:style w:type="paragraph" w:styleId="Heading2">
    <w:name w:val="heading 2"/>
    <w:basedOn w:val="Normal"/>
    <w:next w:val="Normal"/>
    <w:link w:val="Heading2Char"/>
    <w:uiPriority w:val="99"/>
    <w:semiHidden/>
    <w:rsid w:val="0042379C"/>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a">
    <w:name w:val="appendix_head_a"/>
    <w:qFormat/>
    <w:pPr>
      <w:spacing w:before="180" w:line="280" w:lineRule="exact"/>
    </w:pPr>
    <w:rPr>
      <w:rFonts w:ascii="Source Sans Pro SemiBold" w:hAnsi="Source Sans Pro SemiBold" w:cs="Source Sans Pro SemiBold"/>
    </w:rPr>
  </w:style>
  <w:style w:type="paragraph" w:customStyle="1" w:styleId="appendixfheada">
    <w:name w:val="appendix_f_head_a"/>
    <w:basedOn w:val="appendixheada"/>
    <w:qFormat/>
    <w:pPr>
      <w:spacing w:before="240"/>
    </w:pPr>
  </w:style>
  <w:style w:type="paragraph" w:customStyle="1" w:styleId="body">
    <w:name w:val="body"/>
    <w:qFormat/>
    <w:pPr>
      <w:spacing w:before="60" w:line="240" w:lineRule="exact"/>
    </w:pPr>
    <w:rPr>
      <w:rFonts w:ascii="Warnock Pro" w:hAnsi="Warnock Pro" w:cs="Warnock Pro"/>
      <w:sz w:val="20"/>
    </w:rPr>
  </w:style>
  <w:style w:type="paragraph" w:customStyle="1" w:styleId="insertimage">
    <w:name w:val="insert_image"/>
    <w:basedOn w:val="body"/>
    <w:qFormat/>
    <w:pPr>
      <w:spacing w:before="180" w:line="288" w:lineRule="auto"/>
    </w:pPr>
  </w:style>
  <w:style w:type="paragraph" w:customStyle="1" w:styleId="chaptertitle">
    <w:name w:val="chapter_title"/>
    <w:qFormat/>
    <w:pPr>
      <w:spacing w:after="1440" w:line="640" w:lineRule="exact"/>
    </w:pPr>
    <w:rPr>
      <w:rFonts w:ascii="Barlow" w:hAnsi="Barlow" w:cs="Barlow"/>
      <w:b/>
      <w:sz w:val="60"/>
    </w:rPr>
  </w:style>
  <w:style w:type="paragraph" w:customStyle="1" w:styleId="chapternumber">
    <w:name w:val="chapter_number"/>
    <w:basedOn w:val="chaptertitle"/>
    <w:qFormat/>
    <w:pPr>
      <w:pageBreakBefore/>
      <w:spacing w:after="60" w:line="480" w:lineRule="exact"/>
    </w:pPr>
    <w:rPr>
      <w:b w:val="0"/>
      <w:sz w:val="48"/>
    </w:rPr>
  </w:style>
  <w:style w:type="paragraph" w:customStyle="1" w:styleId="headchapter">
    <w:name w:val="head_chapter"/>
    <w:qFormat/>
    <w:pPr>
      <w:pageBreakBefore/>
      <w:pBdr>
        <w:top w:val="single" w:sz="8" w:space="0" w:color="auto"/>
      </w:pBdr>
      <w:spacing w:before="240" w:after="40" w:line="360" w:lineRule="exact"/>
      <w:ind w:left="359" w:hanging="240"/>
    </w:pPr>
    <w:rPr>
      <w:rFonts w:ascii="Barlow Medium" w:hAnsi="Barlow Medium" w:cs="Barlow Medium"/>
      <w:color w:val="FFFFFF"/>
      <w:sz w:val="29"/>
    </w:rPr>
  </w:style>
  <w:style w:type="paragraph" w:customStyle="1" w:styleId="headappendix">
    <w:name w:val="head_appendix"/>
    <w:basedOn w:val="headchapter"/>
    <w:qFormat/>
    <w:rsid w:val="000A2F2A"/>
    <w:pPr>
      <w:numPr>
        <w:numId w:val="1"/>
      </w:numPr>
    </w:pPr>
    <w:rPr>
      <w:color w:val="000000" w:themeColor="text1"/>
    </w:rPr>
  </w:style>
  <w:style w:type="paragraph" w:customStyle="1" w:styleId="tablehead">
    <w:name w:val="table_head"/>
    <w:qFormat/>
    <w:pPr>
      <w:spacing w:before="90" w:line="240" w:lineRule="exact"/>
    </w:pPr>
    <w:rPr>
      <w:rFonts w:ascii="Source Sans Pro" w:hAnsi="Source Sans Pro" w:cs="Source Sans Pro"/>
      <w:b/>
      <w:sz w:val="22"/>
    </w:rPr>
  </w:style>
  <w:style w:type="paragraph" w:customStyle="1" w:styleId="tableheadwhite">
    <w:name w:val="table_head_white"/>
    <w:basedOn w:val="tablehead"/>
    <w:qFormat/>
    <w:rPr>
      <w:color w:val="FFFFFF"/>
    </w:rPr>
  </w:style>
  <w:style w:type="paragraph" w:customStyle="1" w:styleId="tabletext">
    <w:name w:val="table_text"/>
    <w:qFormat/>
    <w:pPr>
      <w:spacing w:line="210" w:lineRule="exact"/>
    </w:pPr>
    <w:rPr>
      <w:rFonts w:ascii="Source Sans Pro" w:hAnsi="Source Sans Pro" w:cs="Source Sans Pro"/>
      <w:sz w:val="18"/>
    </w:rPr>
  </w:style>
  <w:style w:type="paragraph" w:customStyle="1" w:styleId="tablesubhead">
    <w:name w:val="table_subhead"/>
    <w:basedOn w:val="tabletext"/>
    <w:qFormat/>
    <w:rPr>
      <w:b/>
    </w:rPr>
  </w:style>
  <w:style w:type="paragraph" w:customStyle="1" w:styleId="appendixtablesubhead">
    <w:name w:val="appendix_table_subhead"/>
    <w:basedOn w:val="tablesubhead"/>
    <w:qFormat/>
    <w:pPr>
      <w:spacing w:line="230" w:lineRule="exact"/>
    </w:pPr>
    <w:rPr>
      <w:rFonts w:ascii="Source Sans Pro SemiBold" w:hAnsi="Source Sans Pro SemiBold" w:cs="Source Sans Pro SemiBold"/>
      <w:b w:val="0"/>
      <w:sz w:val="20"/>
    </w:rPr>
  </w:style>
  <w:style w:type="character" w:customStyle="1" w:styleId="appendixlistnumbers">
    <w:name w:val="appendix_list_numbers"/>
    <w:qFormat/>
    <w:rPr>
      <w:rFonts w:ascii="Warnock Pro" w:hAnsi="Warnock Pro" w:cs="Warnock Pro"/>
      <w:b/>
    </w:rPr>
  </w:style>
  <w:style w:type="character" w:customStyle="1" w:styleId="bulletchar">
    <w:name w:val="bullet_char"/>
    <w:qFormat/>
    <w:rPr>
      <w:rFonts w:ascii="Source Sans Pro" w:hAnsi="Source Sans Pro" w:cs="Source Sans Pro"/>
    </w:rPr>
  </w:style>
  <w:style w:type="character" w:customStyle="1" w:styleId="bulletlv2">
    <w:name w:val="bullet_lv2"/>
    <w:qFormat/>
    <w:rPr>
      <w:rFonts w:ascii="Apple Symbols" w:hAnsi="Apple Symbols" w:cs="Apple Symbols"/>
      <w:sz w:val="14"/>
    </w:rPr>
  </w:style>
  <w:style w:type="character" w:customStyle="1" w:styleId="headdchar">
    <w:name w:val="head_d_char"/>
    <w:qFormat/>
    <w:rPr>
      <w:rFonts w:ascii="Source Sans Pro SemiBold" w:hAnsi="Source Sans Pro SemiBold" w:cs="Source Sans Pro SemiBold"/>
    </w:rPr>
  </w:style>
  <w:style w:type="character" w:customStyle="1" w:styleId="nobreak">
    <w:name w:val="no_break"/>
    <w:qFormat/>
  </w:style>
  <w:style w:type="character" w:customStyle="1" w:styleId="referencexref">
    <w:name w:val="reference_xref"/>
    <w:qFormat/>
  </w:style>
  <w:style w:type="character" w:customStyle="1" w:styleId="smallcaps">
    <w:name w:val="small_caps"/>
    <w:qFormat/>
    <w:rPr>
      <w:smallCaps/>
    </w:rPr>
  </w:style>
  <w:style w:type="character" w:customStyle="1" w:styleId="tablebold">
    <w:name w:val="table_bold"/>
    <w:qFormat/>
    <w:rPr>
      <w:b/>
    </w:rPr>
  </w:style>
  <w:style w:type="character" w:customStyle="1" w:styleId="tableitalic">
    <w:name w:val="table_italic"/>
    <w:qFormat/>
    <w:rPr>
      <w:i/>
    </w:rPr>
  </w:style>
  <w:style w:type="character" w:customStyle="1" w:styleId="tablesubheaditalic">
    <w:name w:val="table_subhead_italic"/>
    <w:basedOn w:val="tableitalic"/>
    <w:qFormat/>
    <w:rPr>
      <w:i/>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AppendixTable">
    <w:name w:val="Appendix Table"/>
    <w:basedOn w:val="DefaultTable"/>
    <w:qFormat/>
    <w:tblPr>
      <w:tblStyleRowBandSize w:val="1"/>
      <w:tblBorders>
        <w:top w:val="none" w:sz="8" w:space="0" w:color="auto"/>
        <w:left w:val="none" w:sz="8" w:space="0" w:color="auto"/>
        <w:bottom w:val="none" w:sz="8" w:space="0" w:color="auto"/>
        <w:right w:val="none" w:sz="8" w:space="0" w:color="auto"/>
        <w:insideH w:val="single" w:sz="2" w:space="0" w:color="000000"/>
        <w:insideV w:val="none" w:sz="8" w:space="0" w:color="auto"/>
      </w:tblBorders>
      <w:tblCellMar>
        <w:left w:w="108" w:type="dxa"/>
        <w:right w:w="108" w:type="dxa"/>
      </w:tblCellMar>
    </w:tblPr>
    <w:tcPr>
      <w:shd w:val="clear" w:color="auto" w:fill="auto"/>
    </w:tcPr>
    <w:tblStylePr w:type="firstRow">
      <w:tblPr/>
      <w:tcPr>
        <w:shd w:val="clear" w:color="auto" w:fill="auto"/>
      </w:tcPr>
    </w:tblStylePr>
    <w:tblStylePr w:type="band1Horz">
      <w:tblPr/>
      <w:tcPr>
        <w:shd w:val="pct20" w:color="FFFFFF" w:fill="auto"/>
      </w:tcPr>
    </w:tblStylePr>
    <w:tblStylePr w:type="band2Horz">
      <w:tblPr/>
      <w:tcPr>
        <w:shd w:val="pct20" w:color="FFFFFF" w:fill="auto"/>
      </w:tcPr>
    </w:tblStylePr>
  </w:style>
  <w:style w:type="table" w:customStyle="1" w:styleId="AppendixTableContinued">
    <w:name w:val="Appendix Table Continued"/>
    <w:basedOn w:val="AppendixTable"/>
    <w:qFormat/>
    <w:tblPr/>
    <w:tblStylePr w:type="firstRow">
      <w:tblPr/>
      <w:tcPr>
        <w:shd w:val="clear" w:color="auto" w:fill="auto"/>
      </w:tcPr>
    </w:tblStylePr>
    <w:tblStylePr w:type="band1Horz">
      <w:tblPr/>
      <w:tcPr>
        <w:shd w:val="pct20" w:color="FFFFFF" w:fill="auto"/>
      </w:tcPr>
    </w:tblStylePr>
    <w:tblStylePr w:type="band2Horz">
      <w:tblPr/>
      <w:tcPr>
        <w:shd w:val="pct20" w:color="FFFFFF" w:fill="auto"/>
      </w:tcPr>
    </w:tblStylePr>
  </w:style>
  <w:style w:type="table" w:customStyle="1" w:styleId="AppendixFTableContinued">
    <w:name w:val="Appendix F Table Continued"/>
    <w:basedOn w:val="AppendixTableContinued"/>
    <w:qFormat/>
    <w:tblPr/>
    <w:tblStylePr w:type="firstRow">
      <w:tblPr/>
      <w:tcPr>
        <w:shd w:val="clear" w:color="auto" w:fill="auto"/>
      </w:tcPr>
    </w:tblStylePr>
    <w:tblStylePr w:type="band1Horz">
      <w:tblPr/>
      <w:tcPr>
        <w:shd w:val="pct20" w:color="FFFFFF" w:fill="auto"/>
      </w:tcPr>
    </w:tblStylePr>
    <w:tblStylePr w:type="band2Horz">
      <w:tblPr/>
      <w:tcPr>
        <w:shd w:val="pct20" w:color="FFFFFF" w:fill="auto"/>
      </w:tcPr>
    </w:tblStylePr>
  </w:style>
  <w:style w:type="table" w:customStyle="1" w:styleId="AppendixFTable">
    <w:name w:val="Appendix F Table"/>
    <w:basedOn w:val="AppendixFTableContinued"/>
    <w:qFormat/>
    <w:tblPr/>
    <w:tblStylePr w:type="firstRow">
      <w:tblPr/>
      <w:tcPr>
        <w:shd w:val="clear" w:color="auto" w:fill="auto"/>
      </w:tcPr>
    </w:tblStylePr>
    <w:tblStylePr w:type="band1Horz">
      <w:tblPr/>
      <w:tcPr>
        <w:shd w:val="pct20" w:color="FFFFFF" w:fill="auto"/>
      </w:tcPr>
    </w:tblStylePr>
    <w:tblStylePr w:type="band2Horz">
      <w:tblPr/>
      <w:tcPr>
        <w:shd w:val="pct20" w:color="FFFFFF" w:fill="auto"/>
      </w:tcPr>
    </w:tblStylePr>
  </w:style>
  <w:style w:type="paragraph" w:styleId="ListParagraph">
    <w:name w:val="List Paragraph"/>
    <w:basedOn w:val="Normal"/>
    <w:uiPriority w:val="34"/>
    <w:qFormat/>
    <w:rsid w:val="00775D29"/>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Header">
    <w:name w:val="header"/>
    <w:basedOn w:val="Normal"/>
    <w:link w:val="HeaderChar"/>
    <w:uiPriority w:val="99"/>
    <w:rsid w:val="00814E86"/>
    <w:pPr>
      <w:tabs>
        <w:tab w:val="center" w:pos="4680"/>
        <w:tab w:val="right" w:pos="9360"/>
      </w:tabs>
      <w:spacing w:line="240" w:lineRule="auto"/>
    </w:pPr>
  </w:style>
  <w:style w:type="character" w:customStyle="1" w:styleId="HeaderChar">
    <w:name w:val="Header Char"/>
    <w:basedOn w:val="DefaultParagraphFont"/>
    <w:link w:val="Header"/>
    <w:uiPriority w:val="99"/>
    <w:rsid w:val="00814E86"/>
  </w:style>
  <w:style w:type="paragraph" w:styleId="Footer">
    <w:name w:val="footer"/>
    <w:basedOn w:val="Normal"/>
    <w:link w:val="FooterChar"/>
    <w:uiPriority w:val="99"/>
    <w:rsid w:val="00814E86"/>
    <w:pPr>
      <w:tabs>
        <w:tab w:val="center" w:pos="4680"/>
        <w:tab w:val="right" w:pos="9360"/>
      </w:tabs>
      <w:spacing w:line="240" w:lineRule="auto"/>
    </w:pPr>
  </w:style>
  <w:style w:type="character" w:customStyle="1" w:styleId="FooterChar">
    <w:name w:val="Footer Char"/>
    <w:basedOn w:val="DefaultParagraphFont"/>
    <w:link w:val="Footer"/>
    <w:uiPriority w:val="99"/>
    <w:rsid w:val="00814E86"/>
  </w:style>
  <w:style w:type="character" w:styleId="Hyperlink">
    <w:name w:val="Hyperlink"/>
    <w:basedOn w:val="DefaultParagraphFont"/>
    <w:uiPriority w:val="99"/>
    <w:semiHidden/>
    <w:rsid w:val="0065619B"/>
    <w:rPr>
      <w:color w:val="467886" w:themeColor="hyperlink"/>
      <w:u w:val="single"/>
    </w:rPr>
  </w:style>
  <w:style w:type="character" w:styleId="UnresolvedMention">
    <w:name w:val="Unresolved Mention"/>
    <w:basedOn w:val="DefaultParagraphFont"/>
    <w:uiPriority w:val="99"/>
    <w:semiHidden/>
    <w:rsid w:val="0065619B"/>
    <w:rPr>
      <w:color w:val="605E5C"/>
      <w:shd w:val="clear" w:color="auto" w:fill="E1DFDD"/>
    </w:rPr>
  </w:style>
  <w:style w:type="paragraph" w:styleId="NormalWeb">
    <w:name w:val="Normal (Web)"/>
    <w:basedOn w:val="Normal"/>
    <w:uiPriority w:val="99"/>
    <w:unhideWhenUsed/>
    <w:rsid w:val="005131F4"/>
    <w:pPr>
      <w:spacing w:before="100" w:beforeAutospacing="1" w:after="100" w:afterAutospacing="1" w:line="240" w:lineRule="auto"/>
    </w:pPr>
    <w:rPr>
      <w:rFonts w:ascii="Times New Roman" w:hAnsi="Times New Roman" w:cs="Times New Roman"/>
      <w:szCs w:val="24"/>
    </w:rPr>
  </w:style>
  <w:style w:type="character" w:customStyle="1" w:styleId="Heading2Char">
    <w:name w:val="Heading 2 Char"/>
    <w:basedOn w:val="DefaultParagraphFont"/>
    <w:link w:val="Heading2"/>
    <w:uiPriority w:val="99"/>
    <w:semiHidden/>
    <w:rsid w:val="0042379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715F4-1FA9-C849-B242-32562CEE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4384</Words>
  <Characters>23630</Characters>
  <Application>Microsoft Office Word</Application>
  <DocSecurity>0</DocSecurity>
  <Lines>576</Lines>
  <Paragraphs>363</Paragraphs>
  <ScaleCrop>false</ScaleCrop>
  <HeadingPairs>
    <vt:vector size="2" baseType="variant">
      <vt:variant>
        <vt:lpstr>Title</vt:lpstr>
      </vt:variant>
      <vt:variant>
        <vt:i4>1</vt:i4>
      </vt:variant>
    </vt:vector>
  </HeadingPairs>
  <TitlesOfParts>
    <vt:vector size="1" baseType="lpstr">
      <vt:lpstr/>
    </vt:vector>
  </TitlesOfParts>
  <Company>Em Software</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Markham, James M</dc:creator>
  <cp:lastModifiedBy>Fowler, Kayla Alexis</cp:lastModifiedBy>
  <cp:revision>4</cp:revision>
  <cp:lastPrinted>2026-04-15T13:24:00Z</cp:lastPrinted>
  <dcterms:created xsi:type="dcterms:W3CDTF">2026-04-15T13:25:00Z</dcterms:created>
  <dcterms:modified xsi:type="dcterms:W3CDTF">2026-04-16T02:57:00Z</dcterms:modified>
</cp:coreProperties>
</file>