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2337"/>
        <w:gridCol w:w="4768"/>
        <w:gridCol w:w="1080"/>
        <w:gridCol w:w="1165"/>
      </w:tblGrid>
      <w:tr w:rsidR="00FC5103" w:rsidTr="00FC5103">
        <w:tc>
          <w:tcPr>
            <w:tcW w:w="7105" w:type="dxa"/>
            <w:gridSpan w:val="2"/>
          </w:tcPr>
          <w:p w:rsidR="00FC5103" w:rsidRDefault="00FC5103">
            <w:bookmarkStart w:id="0" w:name="_GoBack"/>
            <w:bookmarkEnd w:id="0"/>
            <w:r>
              <w:t>Dominant Case Management Style</w:t>
            </w:r>
          </w:p>
        </w:tc>
        <w:tc>
          <w:tcPr>
            <w:tcW w:w="1080" w:type="dxa"/>
          </w:tcPr>
          <w:p w:rsidR="00FC5103" w:rsidRDefault="00FC5103">
            <w:r>
              <w:t xml:space="preserve">Current </w:t>
            </w:r>
          </w:p>
        </w:tc>
        <w:tc>
          <w:tcPr>
            <w:tcW w:w="1165" w:type="dxa"/>
          </w:tcPr>
          <w:p w:rsidR="00FC5103" w:rsidRDefault="00FC5103">
            <w:r>
              <w:t>Preferred</w:t>
            </w:r>
          </w:p>
        </w:tc>
      </w:tr>
      <w:tr w:rsidR="00FC5103" w:rsidTr="00FC5103">
        <w:tc>
          <w:tcPr>
            <w:tcW w:w="2337" w:type="dxa"/>
          </w:tcPr>
          <w:p w:rsidR="00FC5103" w:rsidRDefault="00FC5103">
            <w:r>
              <w:t>I</w:t>
            </w:r>
          </w:p>
        </w:tc>
        <w:tc>
          <w:tcPr>
            <w:tcW w:w="4768" w:type="dxa"/>
          </w:tcPr>
          <w:p w:rsidR="00FC5103" w:rsidRDefault="00FC5103" w:rsidP="00FC5103">
            <w:r>
              <w:t xml:space="preserve">There is general agreement on performance goals, but centralized judicial and administrative staff leadership is downplayed and creativity is encouraged.  As a result, there are alternative acceptable ways for individual judges to apply court rules, policies and procedures </w:t>
            </w:r>
          </w:p>
        </w:tc>
        <w:tc>
          <w:tcPr>
            <w:tcW w:w="1080" w:type="dxa"/>
          </w:tcPr>
          <w:p w:rsidR="00FC5103" w:rsidRDefault="00FC5103"/>
        </w:tc>
        <w:tc>
          <w:tcPr>
            <w:tcW w:w="1165" w:type="dxa"/>
          </w:tcPr>
          <w:p w:rsidR="00FC5103" w:rsidRDefault="00FC5103"/>
        </w:tc>
      </w:tr>
      <w:tr w:rsidR="00FC5103" w:rsidTr="00FC5103">
        <w:tc>
          <w:tcPr>
            <w:tcW w:w="2337" w:type="dxa"/>
          </w:tcPr>
          <w:p w:rsidR="00FC5103" w:rsidRDefault="00FC5103">
            <w:r>
              <w:t>II</w:t>
            </w:r>
          </w:p>
        </w:tc>
        <w:tc>
          <w:tcPr>
            <w:tcW w:w="4768" w:type="dxa"/>
          </w:tcPr>
          <w:p w:rsidR="00FC5103" w:rsidRDefault="00FC5103" w:rsidP="00FC5103">
            <w:r>
              <w:t>Judicial expectations concerning the timing of key procedural events come from a working policy built on the deliberate involvement and planning of the entire bench.  Follow-through on established goals is championed and encouraged by a presiding</w:t>
            </w:r>
            <w:r w:rsidR="00A14B9E">
              <w:t xml:space="preserve"> </w:t>
            </w:r>
            <w:r>
              <w:t xml:space="preserve">(administrative) judge </w:t>
            </w:r>
          </w:p>
        </w:tc>
        <w:tc>
          <w:tcPr>
            <w:tcW w:w="1080" w:type="dxa"/>
          </w:tcPr>
          <w:p w:rsidR="00FC5103" w:rsidRDefault="00FC5103"/>
        </w:tc>
        <w:tc>
          <w:tcPr>
            <w:tcW w:w="1165" w:type="dxa"/>
          </w:tcPr>
          <w:p w:rsidR="00FC5103" w:rsidRDefault="00FC5103"/>
        </w:tc>
      </w:tr>
      <w:tr w:rsidR="00FC5103" w:rsidTr="00FC5103">
        <w:tc>
          <w:tcPr>
            <w:tcW w:w="2337" w:type="dxa"/>
          </w:tcPr>
          <w:p w:rsidR="00FC5103" w:rsidRDefault="00FC5103">
            <w:r>
              <w:t>III</w:t>
            </w:r>
          </w:p>
        </w:tc>
        <w:tc>
          <w:tcPr>
            <w:tcW w:w="4768" w:type="dxa"/>
          </w:tcPr>
          <w:p w:rsidR="00FC5103" w:rsidRDefault="00FC5103">
            <w:r>
              <w:t xml:space="preserve">There is limited discussion and agreement on the importance of court wide performance goals.  Individual judges are relatively free to make their own determinations on when key procedural events are to be completed. </w:t>
            </w:r>
          </w:p>
        </w:tc>
        <w:tc>
          <w:tcPr>
            <w:tcW w:w="1080" w:type="dxa"/>
          </w:tcPr>
          <w:p w:rsidR="00FC5103" w:rsidRDefault="00FC5103"/>
        </w:tc>
        <w:tc>
          <w:tcPr>
            <w:tcW w:w="1165" w:type="dxa"/>
          </w:tcPr>
          <w:p w:rsidR="00FC5103" w:rsidRDefault="00FC5103"/>
        </w:tc>
      </w:tr>
      <w:tr w:rsidR="00FC5103" w:rsidTr="00FC5103">
        <w:tc>
          <w:tcPr>
            <w:tcW w:w="2337" w:type="dxa"/>
          </w:tcPr>
          <w:p w:rsidR="00FC5103" w:rsidRDefault="00FC5103">
            <w:r>
              <w:t>IV</w:t>
            </w:r>
          </w:p>
        </w:tc>
        <w:tc>
          <w:tcPr>
            <w:tcW w:w="4768" w:type="dxa"/>
          </w:tcPr>
          <w:p w:rsidR="00FC5103" w:rsidRDefault="00FC5103" w:rsidP="00FC5103">
            <w:r>
              <w:t xml:space="preserve">Judges are committed to the use of </w:t>
            </w:r>
            <w:proofErr w:type="spellStart"/>
            <w:r>
              <w:t>caseflow</w:t>
            </w:r>
            <w:proofErr w:type="spellEnd"/>
            <w:r>
              <w:t xml:space="preserve"> management (e.g. early case control, case coordination, and firm trial dates) with the support of administrative and courtroom staff.  Written court rules and procedures are applied uniformly by judges</w:t>
            </w:r>
            <w:r w:rsidR="00A14B9E">
              <w:t>.</w:t>
            </w:r>
            <w:r>
              <w:t xml:space="preserve"> </w:t>
            </w:r>
          </w:p>
        </w:tc>
        <w:tc>
          <w:tcPr>
            <w:tcW w:w="1080" w:type="dxa"/>
          </w:tcPr>
          <w:p w:rsidR="00FC5103" w:rsidRDefault="00FC5103"/>
        </w:tc>
        <w:tc>
          <w:tcPr>
            <w:tcW w:w="1165" w:type="dxa"/>
          </w:tcPr>
          <w:p w:rsidR="00FC5103" w:rsidRDefault="00FC5103"/>
        </w:tc>
      </w:tr>
      <w:tr w:rsidR="00FC5103" w:rsidTr="00FC5103">
        <w:tc>
          <w:tcPr>
            <w:tcW w:w="2337" w:type="dxa"/>
          </w:tcPr>
          <w:p w:rsidR="00FC5103" w:rsidRDefault="00FC5103"/>
        </w:tc>
        <w:tc>
          <w:tcPr>
            <w:tcW w:w="4768" w:type="dxa"/>
          </w:tcPr>
          <w:p w:rsidR="00FC5103" w:rsidRPr="00A14B9E" w:rsidRDefault="00A14B9E" w:rsidP="00A14B9E">
            <w:pPr>
              <w:jc w:val="right"/>
              <w:rPr>
                <w:b/>
              </w:rPr>
            </w:pPr>
            <w:r w:rsidRPr="00A14B9E">
              <w:rPr>
                <w:b/>
              </w:rPr>
              <w:t>TOTAL</w:t>
            </w:r>
          </w:p>
        </w:tc>
        <w:tc>
          <w:tcPr>
            <w:tcW w:w="1080" w:type="dxa"/>
          </w:tcPr>
          <w:p w:rsidR="00FC5103" w:rsidRDefault="00C825C3" w:rsidP="00C825C3">
            <w:pPr>
              <w:jc w:val="right"/>
            </w:pPr>
            <w:r>
              <w:t>100</w:t>
            </w:r>
          </w:p>
        </w:tc>
        <w:tc>
          <w:tcPr>
            <w:tcW w:w="1165" w:type="dxa"/>
          </w:tcPr>
          <w:p w:rsidR="00FC5103" w:rsidRDefault="00C825C3" w:rsidP="00C825C3">
            <w:pPr>
              <w:jc w:val="right"/>
            </w:pPr>
            <w:r>
              <w:t>100</w:t>
            </w:r>
          </w:p>
        </w:tc>
      </w:tr>
    </w:tbl>
    <w:p w:rsidR="0083433C" w:rsidRDefault="0083433C"/>
    <w:p w:rsidR="00A14B9E" w:rsidRDefault="00A14B9E">
      <w:r>
        <w:t xml:space="preserve">Identify the relative degree of CURRENT emphasis that you think is placed on the value by your court.  Divide 100 points among these four alternatives depending on the extent to which each alternative best describes your court.  Give a higher number of points to the alternative that is most descriptive of your court.  </w:t>
      </w:r>
    </w:p>
    <w:p w:rsidR="00A14B9E" w:rsidRDefault="00A14B9E" w:rsidP="00884741">
      <w:pPr>
        <w:spacing w:after="0"/>
      </w:pPr>
      <w:r>
        <w:t xml:space="preserve">Turning to your PREFERRED emphasis, identify the relative degree of emphasis you would like to see your court embrace. </w:t>
      </w:r>
    </w:p>
    <w:p w:rsidR="00884741" w:rsidRDefault="00884741" w:rsidP="00884741">
      <w:pPr>
        <w:spacing w:after="0"/>
      </w:pPr>
    </w:p>
    <w:p w:rsidR="00884741" w:rsidRDefault="00884741" w:rsidP="00884741">
      <w:pPr>
        <w:spacing w:after="0"/>
      </w:pPr>
    </w:p>
    <w:p w:rsidR="00884741" w:rsidRDefault="00884741" w:rsidP="00884741">
      <w:pPr>
        <w:spacing w:after="0"/>
      </w:pPr>
      <w:r>
        <w:t>______________________________________________</w:t>
      </w:r>
    </w:p>
    <w:p w:rsidR="00884741" w:rsidRDefault="00884741" w:rsidP="00884741">
      <w:pPr>
        <w:spacing w:after="0"/>
      </w:pPr>
      <w:r>
        <w:t>Name</w:t>
      </w:r>
    </w:p>
    <w:sectPr w:rsidR="0088474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B9E" w:rsidRDefault="00A14B9E" w:rsidP="00A14B9E">
      <w:pPr>
        <w:spacing w:after="0" w:line="240" w:lineRule="auto"/>
      </w:pPr>
      <w:r>
        <w:separator/>
      </w:r>
    </w:p>
  </w:endnote>
  <w:endnote w:type="continuationSeparator" w:id="0">
    <w:p w:rsidR="00A14B9E" w:rsidRDefault="00A14B9E" w:rsidP="00A14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B9E" w:rsidRDefault="00A14B9E" w:rsidP="00A14B9E">
      <w:pPr>
        <w:spacing w:after="0" w:line="240" w:lineRule="auto"/>
      </w:pPr>
      <w:r>
        <w:separator/>
      </w:r>
    </w:p>
  </w:footnote>
  <w:footnote w:type="continuationSeparator" w:id="0">
    <w:p w:rsidR="00A14B9E" w:rsidRDefault="00A14B9E" w:rsidP="00A14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B9E" w:rsidRPr="00A14B9E" w:rsidRDefault="00A14B9E">
    <w:pPr>
      <w:pStyle w:val="Header"/>
      <w:rPr>
        <w:sz w:val="32"/>
        <w:szCs w:val="32"/>
      </w:rPr>
    </w:pPr>
    <w:r w:rsidRPr="00A14B9E">
      <w:rPr>
        <w:sz w:val="32"/>
        <w:szCs w:val="32"/>
      </w:rPr>
      <w:t>Court Culture Assessment Instrument</w:t>
    </w:r>
  </w:p>
  <w:p w:rsidR="00A14B9E" w:rsidRDefault="00A14B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03"/>
    <w:rsid w:val="000C620A"/>
    <w:rsid w:val="0059691F"/>
    <w:rsid w:val="0083433C"/>
    <w:rsid w:val="00884741"/>
    <w:rsid w:val="00A14B9E"/>
    <w:rsid w:val="00C825C3"/>
    <w:rsid w:val="00FC5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25CDF-BB51-4895-82B7-29FB3EE8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5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4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B9E"/>
  </w:style>
  <w:style w:type="paragraph" w:styleId="Footer">
    <w:name w:val="footer"/>
    <w:basedOn w:val="Normal"/>
    <w:link w:val="FooterChar"/>
    <w:uiPriority w:val="99"/>
    <w:unhideWhenUsed/>
    <w:rsid w:val="00A14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B9E"/>
  </w:style>
  <w:style w:type="paragraph" w:styleId="BalloonText">
    <w:name w:val="Balloon Text"/>
    <w:basedOn w:val="Normal"/>
    <w:link w:val="BalloonTextChar"/>
    <w:uiPriority w:val="99"/>
    <w:semiHidden/>
    <w:unhideWhenUsed/>
    <w:rsid w:val="005969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9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NCAOC</Company>
  <LinksUpToDate>false</LinksUpToDate>
  <CharactersWithSpaces>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Nuccio, Todd</dc:creator>
  <cp:keywords/>
  <dc:description/>
  <cp:lastModifiedBy>Lee, Cindy</cp:lastModifiedBy>
  <cp:revision>2</cp:revision>
  <cp:lastPrinted>2016-04-20T20:54:00Z</cp:lastPrinted>
  <dcterms:created xsi:type="dcterms:W3CDTF">2016-06-14T18:16:00Z</dcterms:created>
  <dcterms:modified xsi:type="dcterms:W3CDTF">2016-06-14T18:16:00Z</dcterms:modified>
</cp:coreProperties>
</file>