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F3" w:rsidRPr="00D80D73" w:rsidRDefault="00D30CE2">
      <w:pPr>
        <w:rPr>
          <w:b/>
          <w:sz w:val="32"/>
        </w:rPr>
      </w:pPr>
      <w:r w:rsidRPr="00D80D73">
        <w:rPr>
          <w:b/>
          <w:sz w:val="32"/>
        </w:rPr>
        <w:t>Restrictions on Registered Sex Offenders</w:t>
      </w:r>
    </w:p>
    <w:p w:rsidR="00283442" w:rsidRPr="00D80D73" w:rsidRDefault="00375E6D" w:rsidP="00283442">
      <w:pPr>
        <w:pStyle w:val="NoSpacing"/>
        <w:rPr>
          <w:rFonts w:asciiTheme="majorHAnsi" w:hAnsiTheme="majorHAnsi"/>
        </w:rPr>
      </w:pPr>
      <w:r w:rsidRPr="00D80D73">
        <w:rPr>
          <w:rFonts w:asciiTheme="majorHAnsi" w:hAnsiTheme="majorHAnsi"/>
        </w:rPr>
        <w:t xml:space="preserve">April </w:t>
      </w:r>
      <w:r w:rsidR="00283442" w:rsidRPr="00D80D73">
        <w:rPr>
          <w:rFonts w:asciiTheme="majorHAnsi" w:hAnsiTheme="majorHAnsi"/>
        </w:rPr>
        <w:t>2013</w:t>
      </w:r>
    </w:p>
    <w:p w:rsidR="00283442" w:rsidRPr="00D80D73" w:rsidRDefault="00283442" w:rsidP="00E80A42">
      <w:pPr>
        <w:pStyle w:val="NoSpacing"/>
        <w:rPr>
          <w:rFonts w:asciiTheme="majorHAnsi" w:hAnsiTheme="majorHAnsi"/>
        </w:rPr>
      </w:pPr>
    </w:p>
    <w:p w:rsidR="00E80A42" w:rsidRPr="00D80D73" w:rsidRDefault="00E80A42" w:rsidP="00E80A42">
      <w:pPr>
        <w:pStyle w:val="NoSpacing"/>
        <w:rPr>
          <w:rFonts w:asciiTheme="majorHAnsi" w:hAnsiTheme="majorHAnsi"/>
        </w:rPr>
      </w:pPr>
      <w:r w:rsidRPr="00D80D73">
        <w:rPr>
          <w:rFonts w:asciiTheme="majorHAnsi" w:hAnsiTheme="majorHAnsi"/>
        </w:rPr>
        <w:t>Jamie Markham</w:t>
      </w:r>
    </w:p>
    <w:p w:rsidR="00E80A42" w:rsidRPr="00D80D73" w:rsidRDefault="00E80A42" w:rsidP="00E80A42">
      <w:pPr>
        <w:pStyle w:val="NoSpacing"/>
        <w:rPr>
          <w:rFonts w:asciiTheme="majorHAnsi" w:hAnsiTheme="majorHAnsi"/>
        </w:rPr>
      </w:pPr>
      <w:r w:rsidRPr="00D80D73">
        <w:rPr>
          <w:rFonts w:asciiTheme="majorHAnsi" w:hAnsiTheme="majorHAnsi"/>
        </w:rPr>
        <w:t>Assistant Professor, UNC School of Government</w:t>
      </w:r>
    </w:p>
    <w:p w:rsidR="00283442" w:rsidRPr="00D80D73" w:rsidRDefault="00283442" w:rsidP="00E80A42">
      <w:pPr>
        <w:pStyle w:val="NoSpacing"/>
        <w:rPr>
          <w:rFonts w:asciiTheme="majorHAnsi" w:hAnsiTheme="majorHAnsi"/>
        </w:rPr>
      </w:pPr>
      <w:r w:rsidRPr="00D80D73">
        <w:rPr>
          <w:rFonts w:asciiTheme="majorHAnsi" w:hAnsiTheme="majorHAnsi"/>
        </w:rPr>
        <w:t>markham@sog.unc.edu</w:t>
      </w:r>
    </w:p>
    <w:p w:rsidR="00283442" w:rsidRPr="00D80D73" w:rsidRDefault="00283442" w:rsidP="00E80A42">
      <w:pPr>
        <w:pStyle w:val="NoSpacing"/>
        <w:rPr>
          <w:rFonts w:asciiTheme="majorHAnsi" w:hAnsiTheme="majorHAnsi"/>
        </w:rPr>
      </w:pPr>
      <w:r w:rsidRPr="00D80D73">
        <w:rPr>
          <w:rFonts w:asciiTheme="majorHAnsi" w:hAnsiTheme="majorHAnsi"/>
        </w:rPr>
        <w:t>919-843-3914</w:t>
      </w:r>
    </w:p>
    <w:p w:rsidR="00283442" w:rsidRPr="00D80D73" w:rsidRDefault="00283442" w:rsidP="00E80A42">
      <w:pPr>
        <w:pStyle w:val="NoSpacing"/>
        <w:rPr>
          <w:rFonts w:asciiTheme="majorHAnsi" w:hAnsiTheme="majorHAnsi"/>
        </w:rPr>
      </w:pPr>
    </w:p>
    <w:p w:rsidR="00300837" w:rsidRPr="00D80D73" w:rsidRDefault="00300837" w:rsidP="00300837">
      <w:pPr>
        <w:pStyle w:val="NoSpacing"/>
        <w:rPr>
          <w:rFonts w:asciiTheme="majorHAnsi" w:hAnsiTheme="majorHAnsi"/>
          <w:sz w:val="20"/>
          <w:szCs w:val="20"/>
        </w:rPr>
      </w:pPr>
    </w:p>
    <w:p w:rsidR="00283442" w:rsidRPr="00D80D73" w:rsidRDefault="00283442" w:rsidP="00537B73">
      <w:pPr>
        <w:pStyle w:val="ListParagraph"/>
        <w:numPr>
          <w:ilvl w:val="0"/>
          <w:numId w:val="20"/>
        </w:numPr>
        <w:rPr>
          <w:rFonts w:asciiTheme="majorHAnsi" w:hAnsiTheme="majorHAnsi"/>
          <w:b/>
        </w:rPr>
      </w:pPr>
      <w:r w:rsidRPr="00D80D73">
        <w:rPr>
          <w:rFonts w:asciiTheme="majorHAnsi" w:hAnsiTheme="majorHAnsi"/>
          <w:b/>
        </w:rPr>
        <w:t xml:space="preserve">Is the </w:t>
      </w:r>
      <w:r w:rsidR="00B11BBC" w:rsidRPr="00D80D73">
        <w:rPr>
          <w:rFonts w:asciiTheme="majorHAnsi" w:hAnsiTheme="majorHAnsi"/>
          <w:b/>
        </w:rPr>
        <w:t>Person Required to R</w:t>
      </w:r>
      <w:r w:rsidRPr="00D80D73">
        <w:rPr>
          <w:rFonts w:asciiTheme="majorHAnsi" w:hAnsiTheme="majorHAnsi"/>
          <w:b/>
        </w:rPr>
        <w:t>egister</w:t>
      </w:r>
      <w:r w:rsidR="00803B80" w:rsidRPr="00D80D73">
        <w:rPr>
          <w:rFonts w:asciiTheme="majorHAnsi" w:hAnsiTheme="majorHAnsi"/>
          <w:b/>
        </w:rPr>
        <w:t>?</w:t>
      </w:r>
      <w:r w:rsidR="00E80A42" w:rsidRPr="00D80D73">
        <w:rPr>
          <w:rFonts w:asciiTheme="majorHAnsi" w:hAnsiTheme="majorHAnsi"/>
          <w:b/>
        </w:rPr>
        <w:t xml:space="preserve"> </w:t>
      </w:r>
    </w:p>
    <w:p w:rsidR="00537B73" w:rsidRPr="00D80D73" w:rsidRDefault="00E80A42" w:rsidP="00537B73">
      <w:pPr>
        <w:rPr>
          <w:rFonts w:asciiTheme="majorHAnsi" w:hAnsiTheme="majorHAnsi"/>
          <w:b/>
        </w:rPr>
      </w:pPr>
      <w:r w:rsidRPr="00D80D73">
        <w:rPr>
          <w:rFonts w:asciiTheme="majorHAnsi" w:hAnsiTheme="majorHAnsi"/>
        </w:rPr>
        <w:t xml:space="preserve">For most </w:t>
      </w:r>
      <w:r w:rsidR="00D30CE2" w:rsidRPr="00D80D73">
        <w:rPr>
          <w:rFonts w:asciiTheme="majorHAnsi" w:hAnsiTheme="majorHAnsi"/>
        </w:rPr>
        <w:t xml:space="preserve">matters </w:t>
      </w:r>
      <w:r w:rsidRPr="00D80D73">
        <w:rPr>
          <w:rFonts w:asciiTheme="majorHAnsi" w:hAnsiTheme="majorHAnsi"/>
        </w:rPr>
        <w:t>related to sex offender registration, a threshold question is whether the person is required to register.</w:t>
      </w:r>
      <w:r w:rsidR="00283442" w:rsidRPr="00D80D73">
        <w:rPr>
          <w:rFonts w:asciiTheme="majorHAnsi" w:hAnsiTheme="majorHAnsi"/>
        </w:rPr>
        <w:t xml:space="preserve"> The attached chart shows all of the North Carolina crimes that require registration as a sex offender. Be sure to pay careful attention to the effective date clause applicable to each reportable offense.</w:t>
      </w:r>
    </w:p>
    <w:p w:rsidR="00537B73" w:rsidRPr="00D80D73" w:rsidRDefault="00B645BD" w:rsidP="00537B73">
      <w:pPr>
        <w:rPr>
          <w:rFonts w:asciiTheme="majorHAnsi" w:hAnsiTheme="majorHAnsi"/>
          <w:b/>
        </w:rPr>
      </w:pPr>
      <w:proofErr w:type="gramStart"/>
      <w:r w:rsidRPr="00D80D73">
        <w:rPr>
          <w:rFonts w:asciiTheme="majorHAnsi" w:hAnsiTheme="majorHAnsi"/>
          <w:b/>
        </w:rPr>
        <w:t>Sex offender registries online.</w:t>
      </w:r>
      <w:proofErr w:type="gramEnd"/>
      <w:r w:rsidRPr="00D80D73">
        <w:rPr>
          <w:rFonts w:asciiTheme="majorHAnsi" w:hAnsiTheme="majorHAnsi"/>
          <w:b/>
        </w:rPr>
        <w:t xml:space="preserve"> </w:t>
      </w:r>
      <w:r w:rsidR="00126FD8" w:rsidRPr="00D80D73">
        <w:rPr>
          <w:rFonts w:asciiTheme="majorHAnsi" w:hAnsiTheme="majorHAnsi"/>
        </w:rPr>
        <w:t>If a person is already registered he or she should appear on one of the following registry Web sites:</w:t>
      </w:r>
    </w:p>
    <w:p w:rsidR="00537B73" w:rsidRPr="00D80D73" w:rsidRDefault="00B645BD" w:rsidP="00537B73">
      <w:pPr>
        <w:pStyle w:val="ListParagraph"/>
        <w:numPr>
          <w:ilvl w:val="0"/>
          <w:numId w:val="21"/>
        </w:numPr>
        <w:rPr>
          <w:rFonts w:asciiTheme="majorHAnsi" w:hAnsiTheme="majorHAnsi"/>
          <w:b/>
        </w:rPr>
      </w:pPr>
      <w:r w:rsidRPr="00D80D73">
        <w:rPr>
          <w:rFonts w:asciiTheme="majorHAnsi" w:hAnsiTheme="majorHAnsi"/>
        </w:rPr>
        <w:t xml:space="preserve">North Carolina: </w:t>
      </w:r>
      <w:hyperlink r:id="rId9" w:history="1">
        <w:r w:rsidR="00283442" w:rsidRPr="00D80D73">
          <w:rPr>
            <w:rStyle w:val="Hyperlink"/>
            <w:rFonts w:asciiTheme="majorHAnsi" w:hAnsiTheme="majorHAnsi"/>
            <w:u w:val="none"/>
          </w:rPr>
          <w:t>http://sexoffender.ncdoj.gov/search.aspx</w:t>
        </w:r>
      </w:hyperlink>
    </w:p>
    <w:p w:rsidR="00857F21" w:rsidRPr="00D80D73" w:rsidRDefault="00B645BD" w:rsidP="00537B73">
      <w:pPr>
        <w:pStyle w:val="ListParagraph"/>
        <w:numPr>
          <w:ilvl w:val="0"/>
          <w:numId w:val="21"/>
        </w:numPr>
        <w:rPr>
          <w:rFonts w:asciiTheme="majorHAnsi" w:hAnsiTheme="majorHAnsi"/>
          <w:b/>
        </w:rPr>
      </w:pPr>
      <w:r w:rsidRPr="00D80D73">
        <w:rPr>
          <w:rFonts w:asciiTheme="majorHAnsi" w:hAnsiTheme="majorHAnsi"/>
        </w:rPr>
        <w:t xml:space="preserve">National (FBI): </w:t>
      </w:r>
      <w:hyperlink r:id="rId10" w:history="1">
        <w:r w:rsidRPr="00D80D73">
          <w:rPr>
            <w:rStyle w:val="Hyperlink"/>
            <w:rFonts w:asciiTheme="majorHAnsi" w:hAnsiTheme="majorHAnsi"/>
            <w:u w:val="none"/>
          </w:rPr>
          <w:t>http://www.nsopw.gov</w:t>
        </w:r>
      </w:hyperlink>
      <w:r w:rsidRPr="00D80D73">
        <w:rPr>
          <w:rFonts w:asciiTheme="majorHAnsi" w:hAnsiTheme="majorHAnsi"/>
        </w:rPr>
        <w:t xml:space="preserve"> </w:t>
      </w:r>
    </w:p>
    <w:p w:rsidR="00375E6D" w:rsidRPr="00D80D73" w:rsidRDefault="00375E6D" w:rsidP="00375E6D">
      <w:pPr>
        <w:pStyle w:val="ListParagraph"/>
        <w:ind w:left="1440"/>
        <w:rPr>
          <w:rFonts w:asciiTheme="majorHAnsi" w:hAnsiTheme="majorHAnsi"/>
          <w:b/>
        </w:rPr>
      </w:pPr>
    </w:p>
    <w:p w:rsidR="00D80D73" w:rsidRDefault="00D80D73" w:rsidP="00D80D73">
      <w:pPr>
        <w:pStyle w:val="ListParagraph"/>
        <w:ind w:left="360"/>
        <w:rPr>
          <w:rFonts w:asciiTheme="majorHAnsi" w:hAnsiTheme="majorHAnsi"/>
          <w:b/>
        </w:rPr>
      </w:pPr>
    </w:p>
    <w:p w:rsidR="00875CC4" w:rsidRPr="00D80D73" w:rsidRDefault="00AE74F4" w:rsidP="00AE74F4">
      <w:pPr>
        <w:pStyle w:val="ListParagraph"/>
        <w:numPr>
          <w:ilvl w:val="0"/>
          <w:numId w:val="20"/>
        </w:numPr>
        <w:rPr>
          <w:rFonts w:asciiTheme="majorHAnsi" w:hAnsiTheme="majorHAnsi"/>
          <w:b/>
        </w:rPr>
      </w:pPr>
      <w:r w:rsidRPr="00D80D73">
        <w:rPr>
          <w:rFonts w:asciiTheme="majorHAnsi" w:hAnsiTheme="majorHAnsi"/>
          <w:b/>
        </w:rPr>
        <w:t>Restrictions on Registrants</w:t>
      </w:r>
    </w:p>
    <w:p w:rsidR="00AE74F4" w:rsidRPr="00D80D73" w:rsidRDefault="00AE74F4" w:rsidP="00875CC4">
      <w:pPr>
        <w:pStyle w:val="ListParagraph"/>
        <w:ind w:left="1080"/>
        <w:rPr>
          <w:rFonts w:asciiTheme="majorHAnsi" w:hAnsiTheme="majorHAnsi"/>
        </w:rPr>
      </w:pPr>
    </w:p>
    <w:p w:rsidR="00D30CE2" w:rsidRPr="00D80D73" w:rsidRDefault="00D30CE2" w:rsidP="00A31B97">
      <w:pPr>
        <w:pStyle w:val="ListParagraph"/>
        <w:ind w:left="0"/>
        <w:rPr>
          <w:rFonts w:asciiTheme="majorHAnsi" w:hAnsiTheme="majorHAnsi"/>
        </w:rPr>
      </w:pPr>
      <w:r w:rsidRPr="00D80D73">
        <w:rPr>
          <w:rFonts w:asciiTheme="majorHAnsi" w:hAnsiTheme="majorHAnsi"/>
          <w:b/>
        </w:rPr>
        <w:t xml:space="preserve">There is no general restriction against a registered sex offender </w:t>
      </w:r>
      <w:r w:rsidR="00A31B97" w:rsidRPr="00D80D73">
        <w:rPr>
          <w:rFonts w:asciiTheme="majorHAnsi" w:hAnsiTheme="majorHAnsi"/>
          <w:b/>
        </w:rPr>
        <w:t xml:space="preserve">visiting or </w:t>
      </w:r>
      <w:r w:rsidRPr="00D80D73">
        <w:rPr>
          <w:rFonts w:asciiTheme="majorHAnsi" w:hAnsiTheme="majorHAnsi"/>
          <w:b/>
        </w:rPr>
        <w:t>living in a household with children</w:t>
      </w:r>
      <w:r w:rsidRPr="00D80D73">
        <w:rPr>
          <w:rFonts w:asciiTheme="majorHAnsi" w:hAnsiTheme="majorHAnsi"/>
        </w:rPr>
        <w:t xml:space="preserve">. </w:t>
      </w:r>
      <w:proofErr w:type="gramStart"/>
      <w:r w:rsidR="00A31B97" w:rsidRPr="00D80D73">
        <w:rPr>
          <w:rFonts w:asciiTheme="majorHAnsi" w:hAnsiTheme="majorHAnsi"/>
        </w:rPr>
        <w:t xml:space="preserve">Bobbitt v. </w:t>
      </w:r>
      <w:proofErr w:type="spellStart"/>
      <w:r w:rsidR="00A31B97" w:rsidRPr="00D80D73">
        <w:rPr>
          <w:rFonts w:asciiTheme="majorHAnsi" w:hAnsiTheme="majorHAnsi"/>
        </w:rPr>
        <w:t>Eizenga</w:t>
      </w:r>
      <w:proofErr w:type="spellEnd"/>
      <w:r w:rsidR="00A31B97" w:rsidRPr="00D80D73">
        <w:rPr>
          <w:rFonts w:asciiTheme="majorHAnsi" w:hAnsiTheme="majorHAnsi"/>
        </w:rPr>
        <w:t>, __ N.C. App. __, 715 S.E.2d 613 (2011).</w:t>
      </w:r>
      <w:proofErr w:type="gramEnd"/>
      <w:r w:rsidR="00A31B97" w:rsidRPr="00D80D73">
        <w:rPr>
          <w:rFonts w:asciiTheme="majorHAnsi" w:hAnsiTheme="majorHAnsi"/>
        </w:rPr>
        <w:t xml:space="preserve"> </w:t>
      </w:r>
      <w:r w:rsidR="00C3570F" w:rsidRPr="00D80D73">
        <w:rPr>
          <w:rFonts w:asciiTheme="majorHAnsi" w:hAnsiTheme="majorHAnsi"/>
        </w:rPr>
        <w:t>However, s</w:t>
      </w:r>
      <w:r w:rsidRPr="00D80D73">
        <w:rPr>
          <w:rFonts w:asciiTheme="majorHAnsi" w:hAnsiTheme="majorHAnsi"/>
        </w:rPr>
        <w:t xml:space="preserve">ome </w:t>
      </w:r>
      <w:r w:rsidRPr="00D80D73">
        <w:rPr>
          <w:rFonts w:asciiTheme="majorHAnsi" w:hAnsiTheme="majorHAnsi"/>
          <w:i/>
        </w:rPr>
        <w:t xml:space="preserve">probationers and post-release supervisees </w:t>
      </w:r>
      <w:r w:rsidRPr="00D80D73">
        <w:rPr>
          <w:rFonts w:asciiTheme="majorHAnsi" w:hAnsiTheme="majorHAnsi"/>
        </w:rPr>
        <w:t xml:space="preserve">may be subject to a condition of supervision that prohibits them from living with any minor child, including their own. The constitutionality of that condition has been upheld. </w:t>
      </w:r>
      <w:proofErr w:type="gramStart"/>
      <w:r w:rsidRPr="00D80D73">
        <w:rPr>
          <w:rFonts w:asciiTheme="majorHAnsi" w:hAnsiTheme="majorHAnsi"/>
          <w:i/>
        </w:rPr>
        <w:t xml:space="preserve">See </w:t>
      </w:r>
      <w:r w:rsidRPr="00D80D73">
        <w:rPr>
          <w:rFonts w:asciiTheme="majorHAnsi" w:hAnsiTheme="majorHAnsi"/>
        </w:rPr>
        <w:t>State v. Strickland, 169 N.C. App. 193 (2005).</w:t>
      </w:r>
      <w:proofErr w:type="gramEnd"/>
    </w:p>
    <w:p w:rsidR="00A31B97" w:rsidRPr="00D80D73" w:rsidRDefault="00A31B97" w:rsidP="00D30CE2">
      <w:pPr>
        <w:pStyle w:val="ListParagraph"/>
        <w:ind w:left="360"/>
        <w:rPr>
          <w:rFonts w:asciiTheme="majorHAnsi" w:hAnsiTheme="majorHAnsi"/>
        </w:rPr>
      </w:pPr>
    </w:p>
    <w:p w:rsidR="00A31B97" w:rsidRPr="00D80D73" w:rsidRDefault="00A31B97" w:rsidP="00A31B97">
      <w:pPr>
        <w:pStyle w:val="ListParagraph"/>
        <w:ind w:left="0"/>
        <w:rPr>
          <w:rFonts w:asciiTheme="majorHAnsi" w:hAnsiTheme="majorHAnsi"/>
        </w:rPr>
      </w:pPr>
      <w:r w:rsidRPr="00D80D73">
        <w:rPr>
          <w:rFonts w:asciiTheme="majorHAnsi" w:hAnsiTheme="majorHAnsi"/>
        </w:rPr>
        <w:t>Several other restrictions bear on where some registered sex offenders may live and be.</w:t>
      </w:r>
    </w:p>
    <w:p w:rsidR="00D30CE2" w:rsidRPr="00D80D73" w:rsidRDefault="00D30CE2" w:rsidP="00A31B97">
      <w:pPr>
        <w:pStyle w:val="ListParagraph"/>
        <w:rPr>
          <w:rFonts w:asciiTheme="majorHAnsi" w:hAnsiTheme="majorHAnsi"/>
        </w:rPr>
      </w:pPr>
    </w:p>
    <w:p w:rsidR="00AE74F4" w:rsidRPr="00D80D73" w:rsidRDefault="00AE74F4" w:rsidP="00AE74F4">
      <w:pPr>
        <w:pStyle w:val="ListParagraph"/>
        <w:numPr>
          <w:ilvl w:val="0"/>
          <w:numId w:val="23"/>
        </w:numPr>
        <w:rPr>
          <w:rFonts w:asciiTheme="majorHAnsi" w:hAnsiTheme="majorHAnsi"/>
          <w:b/>
        </w:rPr>
      </w:pPr>
      <w:r w:rsidRPr="00D80D73">
        <w:rPr>
          <w:rFonts w:asciiTheme="majorHAnsi" w:hAnsiTheme="majorHAnsi"/>
          <w:b/>
        </w:rPr>
        <w:t>Residential Restrictions (G.S. 14-208.16, Class G felony)</w:t>
      </w:r>
    </w:p>
    <w:p w:rsidR="00AE74F4" w:rsidRPr="00D80D73" w:rsidRDefault="00AE74F4" w:rsidP="00AE74F4">
      <w:pPr>
        <w:pStyle w:val="ListParagraph"/>
        <w:rPr>
          <w:rFonts w:asciiTheme="majorHAnsi" w:hAnsiTheme="majorHAnsi"/>
          <w:b/>
        </w:rPr>
      </w:pPr>
    </w:p>
    <w:p w:rsidR="00AE74F4" w:rsidRPr="00D80D73" w:rsidRDefault="00CE41CB" w:rsidP="00C3570F">
      <w:pPr>
        <w:pStyle w:val="ListParagraph"/>
        <w:numPr>
          <w:ilvl w:val="1"/>
          <w:numId w:val="24"/>
        </w:numPr>
        <w:ind w:left="1080"/>
        <w:rPr>
          <w:rFonts w:asciiTheme="majorHAnsi" w:hAnsiTheme="majorHAnsi"/>
        </w:rPr>
      </w:pPr>
      <w:r w:rsidRPr="00D80D73">
        <w:rPr>
          <w:rFonts w:asciiTheme="majorHAnsi" w:hAnsiTheme="majorHAnsi"/>
        </w:rPr>
        <w:t xml:space="preserve">Registered sex offenders cannot knowingly reside within 1,000 feet of a </w:t>
      </w:r>
      <w:r w:rsidRPr="00D80D73">
        <w:rPr>
          <w:rFonts w:asciiTheme="majorHAnsi" w:hAnsiTheme="majorHAnsi"/>
          <w:i/>
        </w:rPr>
        <w:t>school</w:t>
      </w:r>
      <w:r w:rsidRPr="00D80D73">
        <w:rPr>
          <w:rFonts w:asciiTheme="majorHAnsi" w:hAnsiTheme="majorHAnsi"/>
        </w:rPr>
        <w:t xml:space="preserve"> or </w:t>
      </w:r>
      <w:r w:rsidRPr="00D80D73">
        <w:rPr>
          <w:rFonts w:asciiTheme="majorHAnsi" w:hAnsiTheme="majorHAnsi"/>
          <w:i/>
        </w:rPr>
        <w:t>childcare center</w:t>
      </w:r>
      <w:r w:rsidRPr="00D80D73">
        <w:rPr>
          <w:rFonts w:asciiTheme="majorHAnsi" w:hAnsiTheme="majorHAnsi"/>
        </w:rPr>
        <w:t>.</w:t>
      </w:r>
    </w:p>
    <w:p w:rsidR="00CE41CB" w:rsidRPr="00D80D73" w:rsidRDefault="00CE41CB" w:rsidP="00C3570F">
      <w:pPr>
        <w:pStyle w:val="ListParagraph"/>
        <w:ind w:left="1800"/>
        <w:rPr>
          <w:rFonts w:asciiTheme="majorHAnsi" w:hAnsiTheme="majorHAnsi"/>
        </w:rPr>
      </w:pPr>
    </w:p>
    <w:p w:rsidR="00CE41CB" w:rsidRPr="00D80D73" w:rsidRDefault="00CE41CB" w:rsidP="00C3570F">
      <w:pPr>
        <w:pStyle w:val="ListParagraph"/>
        <w:numPr>
          <w:ilvl w:val="2"/>
          <w:numId w:val="24"/>
        </w:numPr>
        <w:ind w:left="1800"/>
        <w:rPr>
          <w:rFonts w:asciiTheme="majorHAnsi" w:hAnsiTheme="majorHAnsi"/>
        </w:rPr>
      </w:pPr>
      <w:r w:rsidRPr="00D80D73">
        <w:rPr>
          <w:rFonts w:asciiTheme="majorHAnsi" w:hAnsiTheme="majorHAnsi"/>
        </w:rPr>
        <w:t>“School” does not include home schools a</w:t>
      </w:r>
      <w:r w:rsidR="00375E6D" w:rsidRPr="00D80D73">
        <w:rPr>
          <w:rFonts w:asciiTheme="majorHAnsi" w:hAnsiTheme="majorHAnsi"/>
        </w:rPr>
        <w:t xml:space="preserve">s they are defined in G.S. </w:t>
      </w:r>
      <w:r w:rsidRPr="00D80D73">
        <w:rPr>
          <w:rFonts w:asciiTheme="majorHAnsi" w:hAnsiTheme="majorHAnsi"/>
        </w:rPr>
        <w:t>115C-563 or institutions of higher education.</w:t>
      </w:r>
    </w:p>
    <w:p w:rsidR="00375E6D" w:rsidRPr="00D80D73" w:rsidRDefault="00375E6D" w:rsidP="00C3570F">
      <w:pPr>
        <w:pStyle w:val="ListParagraph"/>
        <w:ind w:left="1800"/>
        <w:rPr>
          <w:rFonts w:asciiTheme="majorHAnsi" w:hAnsiTheme="majorHAnsi"/>
        </w:rPr>
      </w:pPr>
    </w:p>
    <w:p w:rsidR="00D30CE2" w:rsidRPr="00D80D73" w:rsidRDefault="00D80D73" w:rsidP="00C3570F">
      <w:pPr>
        <w:pStyle w:val="ListParagraph"/>
        <w:numPr>
          <w:ilvl w:val="2"/>
          <w:numId w:val="24"/>
        </w:numPr>
        <w:ind w:left="1800"/>
        <w:rPr>
          <w:rFonts w:asciiTheme="majorHAnsi" w:hAnsiTheme="majorHAnsi"/>
        </w:rPr>
      </w:pPr>
      <w:r>
        <w:rPr>
          <w:rFonts w:asciiTheme="majorHAnsi" w:hAnsiTheme="majorHAnsi"/>
        </w:rPr>
        <w:t>“Child care center”</w:t>
      </w:r>
      <w:r w:rsidR="00CE41CB" w:rsidRPr="00D80D73">
        <w:rPr>
          <w:rFonts w:asciiTheme="majorHAnsi" w:hAnsiTheme="majorHAnsi"/>
        </w:rPr>
        <w:t xml:space="preserve"> is defined in G.S. 110-86(3) as “an arrangement where, at any one time, there are three or more preschool</w:t>
      </w:r>
      <w:r w:rsidR="00CE41CB" w:rsidRPr="00D80D73">
        <w:rPr>
          <w:rFonts w:asciiTheme="majorHAnsi" w:hAnsiTheme="majorHAnsi"/>
        </w:rPr>
        <w:noBreakHyphen/>
        <w:t>age children or nine or more school</w:t>
      </w:r>
      <w:r w:rsidR="00CE41CB" w:rsidRPr="00D80D73">
        <w:rPr>
          <w:rFonts w:asciiTheme="majorHAnsi" w:hAnsiTheme="majorHAnsi"/>
        </w:rPr>
        <w:noBreakHyphen/>
        <w:t xml:space="preserve">age children receiving child care.” </w:t>
      </w:r>
    </w:p>
    <w:p w:rsidR="00D30CE2" w:rsidRPr="00D80D73" w:rsidRDefault="00D30CE2" w:rsidP="00C3570F">
      <w:pPr>
        <w:pStyle w:val="ListParagraph"/>
        <w:ind w:left="360"/>
        <w:rPr>
          <w:rFonts w:asciiTheme="majorHAnsi" w:hAnsiTheme="majorHAnsi"/>
        </w:rPr>
      </w:pPr>
    </w:p>
    <w:p w:rsidR="00D30CE2" w:rsidRPr="00D80D73" w:rsidRDefault="00CE41CB" w:rsidP="00C3570F">
      <w:pPr>
        <w:pStyle w:val="ListParagraph"/>
        <w:numPr>
          <w:ilvl w:val="3"/>
          <w:numId w:val="24"/>
        </w:numPr>
        <w:ind w:left="2520"/>
        <w:rPr>
          <w:rFonts w:asciiTheme="majorHAnsi" w:hAnsiTheme="majorHAnsi"/>
        </w:rPr>
      </w:pPr>
      <w:r w:rsidRPr="00D80D73">
        <w:rPr>
          <w:rFonts w:asciiTheme="majorHAnsi" w:hAnsiTheme="majorHAnsi"/>
        </w:rPr>
        <w:t>“Child care” is defined as a</w:t>
      </w:r>
      <w:r w:rsidRPr="00D80D73">
        <w:rPr>
          <w:rFonts w:asciiTheme="majorHAnsi" w:hAnsiTheme="majorHAnsi"/>
          <w:color w:val="000000"/>
        </w:rPr>
        <w:t xml:space="preserve"> “program or arrangement where three or more children less than 13 years old, who do not reside where the care is provided, receive care on a regular basis of at least once per week for more than four hours but less than 24 hours per day from persons other than their guardians or full</w:t>
      </w:r>
      <w:r w:rsidRPr="00D80D73">
        <w:rPr>
          <w:rFonts w:asciiTheme="majorHAnsi" w:hAnsiTheme="majorHAnsi"/>
          <w:color w:val="000000"/>
        </w:rPr>
        <w:noBreakHyphen/>
        <w:t xml:space="preserve">time custodians, or from persons not related to them by birth, marriage, or adoption.” </w:t>
      </w:r>
    </w:p>
    <w:p w:rsidR="00D80D73" w:rsidRPr="00D80D73" w:rsidRDefault="00D80D73" w:rsidP="00D80D73">
      <w:pPr>
        <w:pStyle w:val="ListParagraph"/>
        <w:ind w:left="2520"/>
        <w:rPr>
          <w:rFonts w:asciiTheme="majorHAnsi" w:hAnsiTheme="majorHAnsi"/>
        </w:rPr>
      </w:pPr>
    </w:p>
    <w:p w:rsidR="00D30CE2" w:rsidRPr="00D80D73" w:rsidRDefault="00CE41CB" w:rsidP="00C3570F">
      <w:pPr>
        <w:pStyle w:val="ListParagraph"/>
        <w:numPr>
          <w:ilvl w:val="3"/>
          <w:numId w:val="24"/>
        </w:numPr>
        <w:ind w:left="2520"/>
        <w:rPr>
          <w:rFonts w:asciiTheme="majorHAnsi" w:hAnsiTheme="majorHAnsi"/>
        </w:rPr>
      </w:pPr>
      <w:r w:rsidRPr="00D80D73">
        <w:rPr>
          <w:rFonts w:asciiTheme="majorHAnsi" w:hAnsiTheme="majorHAnsi"/>
          <w:color w:val="000000"/>
        </w:rPr>
        <w:t>The definition of child care excludes many types of care that some might otherwise think of as child care, such as: arrangements operated in the home of any child receiving care if all of the children in care are related to each other and no more than two additional children are in care; recreational programs operated for less than four consecutive months in a year; drop</w:t>
      </w:r>
      <w:r w:rsidRPr="00D80D73">
        <w:rPr>
          <w:rFonts w:asciiTheme="majorHAnsi" w:hAnsiTheme="majorHAnsi"/>
          <w:color w:val="000000"/>
        </w:rPr>
        <w:noBreakHyphen/>
        <w:t>in or short</w:t>
      </w:r>
      <w:r w:rsidRPr="00D80D73">
        <w:rPr>
          <w:rFonts w:asciiTheme="majorHAnsi" w:hAnsiTheme="majorHAnsi"/>
          <w:color w:val="000000"/>
        </w:rPr>
        <w:noBreakHyphen/>
        <w:t>term care provided while parents participate in activities that are not employment related and where the parents are on the premises or otherwise easily accessible, such as drop</w:t>
      </w:r>
      <w:r w:rsidRPr="00D80D73">
        <w:rPr>
          <w:rFonts w:asciiTheme="majorHAnsi" w:hAnsiTheme="majorHAnsi"/>
          <w:color w:val="000000"/>
        </w:rPr>
        <w:noBreakHyphen/>
        <w:t>in or short</w:t>
      </w:r>
      <w:r w:rsidRPr="00D80D73">
        <w:rPr>
          <w:rFonts w:asciiTheme="majorHAnsi" w:hAnsiTheme="majorHAnsi"/>
          <w:color w:val="000000"/>
        </w:rPr>
        <w:noBreakHyphen/>
        <w:t>term care provided in health spas, bowling alleys, shopping malls, resort hotels, or churches; and cooperative arrangements among parents to provide care for their own children as a convenience rather than for employment.</w:t>
      </w:r>
      <w:r w:rsidR="00341648" w:rsidRPr="00D80D73">
        <w:rPr>
          <w:rFonts w:asciiTheme="majorHAnsi" w:hAnsiTheme="majorHAnsi"/>
          <w:color w:val="000000"/>
        </w:rPr>
        <w:t xml:space="preserve"> </w:t>
      </w:r>
    </w:p>
    <w:p w:rsidR="00D80D73" w:rsidRPr="00D80D73" w:rsidRDefault="00D80D73" w:rsidP="00D80D73">
      <w:pPr>
        <w:pStyle w:val="ListParagraph"/>
        <w:ind w:left="2520"/>
        <w:rPr>
          <w:rFonts w:asciiTheme="majorHAnsi" w:hAnsiTheme="majorHAnsi"/>
        </w:rPr>
      </w:pPr>
    </w:p>
    <w:p w:rsidR="00CE41CB" w:rsidRPr="00D80D73" w:rsidRDefault="00341648" w:rsidP="00C3570F">
      <w:pPr>
        <w:pStyle w:val="ListParagraph"/>
        <w:numPr>
          <w:ilvl w:val="3"/>
          <w:numId w:val="24"/>
        </w:numPr>
        <w:ind w:left="2520"/>
        <w:rPr>
          <w:rFonts w:asciiTheme="majorHAnsi" w:hAnsiTheme="majorHAnsi"/>
        </w:rPr>
      </w:pPr>
      <w:r w:rsidRPr="00D80D73">
        <w:rPr>
          <w:rFonts w:asciiTheme="majorHAnsi" w:hAnsiTheme="majorHAnsi"/>
          <w:color w:val="000000"/>
        </w:rPr>
        <w:t>The law also excludes child care centers that are located on or within 1,000 feet of the property of an institution of higher education where the registrant is a student or is employed. G.S. 14-208.16(c).</w:t>
      </w:r>
    </w:p>
    <w:p w:rsidR="00CE41CB" w:rsidRPr="00D80D73" w:rsidRDefault="00CE41CB" w:rsidP="00C3570F">
      <w:pPr>
        <w:pStyle w:val="ListParagraph"/>
        <w:ind w:left="1080"/>
        <w:rPr>
          <w:rFonts w:asciiTheme="majorHAnsi" w:hAnsiTheme="majorHAnsi"/>
        </w:rPr>
      </w:pPr>
    </w:p>
    <w:p w:rsidR="00CE41CB" w:rsidRPr="00D80D73" w:rsidRDefault="00CE41CB" w:rsidP="00C3570F">
      <w:pPr>
        <w:pStyle w:val="ListParagraph"/>
        <w:numPr>
          <w:ilvl w:val="1"/>
          <w:numId w:val="24"/>
        </w:numPr>
        <w:ind w:left="1080"/>
        <w:rPr>
          <w:rFonts w:asciiTheme="majorHAnsi" w:hAnsiTheme="majorHAnsi"/>
        </w:rPr>
      </w:pPr>
      <w:r w:rsidRPr="00D80D73">
        <w:rPr>
          <w:rFonts w:asciiTheme="majorHAnsi" w:hAnsiTheme="majorHAnsi"/>
        </w:rPr>
        <w:t>Exceptions</w:t>
      </w:r>
    </w:p>
    <w:p w:rsidR="00CE41CB" w:rsidRPr="00D80D73" w:rsidRDefault="00CE41CB" w:rsidP="00C3570F">
      <w:pPr>
        <w:pStyle w:val="ListParagraph"/>
        <w:ind w:left="1800"/>
        <w:rPr>
          <w:rFonts w:asciiTheme="majorHAnsi" w:hAnsiTheme="majorHAnsi"/>
        </w:rPr>
      </w:pPr>
    </w:p>
    <w:p w:rsidR="00CE41CB" w:rsidRPr="00D80D73" w:rsidRDefault="00AE74F4" w:rsidP="00C3570F">
      <w:pPr>
        <w:pStyle w:val="ListParagraph"/>
        <w:numPr>
          <w:ilvl w:val="2"/>
          <w:numId w:val="24"/>
        </w:numPr>
        <w:ind w:left="1800"/>
        <w:rPr>
          <w:rFonts w:asciiTheme="majorHAnsi" w:hAnsiTheme="majorHAnsi"/>
        </w:rPr>
      </w:pPr>
      <w:r w:rsidRPr="00D80D73">
        <w:rPr>
          <w:rFonts w:asciiTheme="majorHAnsi" w:hAnsiTheme="majorHAnsi"/>
          <w:i/>
          <w:color w:val="000000"/>
        </w:rPr>
        <w:t>Offenders who established a residence before Dec. 1, 2006</w:t>
      </w:r>
      <w:r w:rsidRPr="00D80D73">
        <w:rPr>
          <w:rFonts w:asciiTheme="majorHAnsi" w:hAnsiTheme="majorHAnsi"/>
          <w:color w:val="000000"/>
        </w:rPr>
        <w:t>. This offense does not apply to offenders who established a residence before Dec. 1, 2006 by (1) purchasing or entering into a specifically enforceable contract to purchase the residence; (2) entering into a written lease contract for the residence, for as long as the offender is lawfully entitled to remain on the premises; or (3) residing with an immediate family member—defined as a parent, grandparent, legal guardian, spouse, or child or sibling 18 years of age or older—who established residence as provided by the law. S.L. 2006-247, sec. 11(c).</w:t>
      </w:r>
    </w:p>
    <w:p w:rsidR="00D80D73" w:rsidRPr="00D80D73" w:rsidRDefault="00D80D73" w:rsidP="00D80D73">
      <w:pPr>
        <w:pStyle w:val="ListParagraph"/>
        <w:ind w:left="1800"/>
        <w:rPr>
          <w:rFonts w:asciiTheme="majorHAnsi" w:hAnsiTheme="majorHAnsi"/>
        </w:rPr>
      </w:pPr>
    </w:p>
    <w:p w:rsidR="00AE74F4" w:rsidRPr="00D80D73" w:rsidRDefault="00AE74F4" w:rsidP="00C3570F">
      <w:pPr>
        <w:pStyle w:val="ListParagraph"/>
        <w:numPr>
          <w:ilvl w:val="2"/>
          <w:numId w:val="24"/>
        </w:numPr>
        <w:ind w:left="1800"/>
        <w:rPr>
          <w:rFonts w:asciiTheme="majorHAnsi" w:hAnsiTheme="majorHAnsi"/>
        </w:rPr>
      </w:pPr>
      <w:r w:rsidRPr="00D80D73">
        <w:rPr>
          <w:rFonts w:asciiTheme="majorHAnsi" w:hAnsiTheme="majorHAnsi"/>
          <w:i/>
          <w:color w:val="000000"/>
        </w:rPr>
        <w:t>Changes in use of surrounding property</w:t>
      </w:r>
      <w:r w:rsidRPr="00D80D73">
        <w:rPr>
          <w:rFonts w:asciiTheme="majorHAnsi" w:hAnsiTheme="majorHAnsi"/>
          <w:color w:val="000000"/>
        </w:rPr>
        <w:t>. Registrants do not violate the law if the ownership or use of a property within 1,000 feet of their residence changes to become a school or child care center after the registrant had established the residence. G.S. 14-208.16(d).</w:t>
      </w:r>
    </w:p>
    <w:p w:rsidR="00103918" w:rsidRPr="00D80D73" w:rsidRDefault="00103918" w:rsidP="00103918">
      <w:pPr>
        <w:pStyle w:val="ListParagraph"/>
        <w:ind w:left="1440"/>
        <w:rPr>
          <w:rFonts w:asciiTheme="majorHAnsi" w:hAnsiTheme="majorHAnsi"/>
        </w:rPr>
      </w:pPr>
    </w:p>
    <w:p w:rsidR="00D80D73" w:rsidRDefault="00D80D73">
      <w:pPr>
        <w:rPr>
          <w:rFonts w:asciiTheme="majorHAnsi" w:hAnsiTheme="majorHAnsi"/>
          <w:b/>
        </w:rPr>
      </w:pPr>
      <w:r>
        <w:rPr>
          <w:rFonts w:asciiTheme="majorHAnsi" w:hAnsiTheme="majorHAnsi"/>
          <w:b/>
        </w:rPr>
        <w:br w:type="page"/>
      </w:r>
    </w:p>
    <w:p w:rsidR="00AE74F4" w:rsidRPr="00D80D73" w:rsidRDefault="00CE41CB" w:rsidP="00CE41CB">
      <w:pPr>
        <w:pStyle w:val="ListParagraph"/>
        <w:numPr>
          <w:ilvl w:val="0"/>
          <w:numId w:val="23"/>
        </w:numPr>
        <w:rPr>
          <w:rFonts w:asciiTheme="majorHAnsi" w:hAnsiTheme="majorHAnsi"/>
          <w:b/>
        </w:rPr>
      </w:pPr>
      <w:r w:rsidRPr="00D80D73">
        <w:rPr>
          <w:rFonts w:asciiTheme="majorHAnsi" w:hAnsiTheme="majorHAnsi"/>
          <w:b/>
        </w:rPr>
        <w:lastRenderedPageBreak/>
        <w:t>Premises Restrictions (G.S. 14-208.18</w:t>
      </w:r>
      <w:r w:rsidR="003A5CB0" w:rsidRPr="00D80D73">
        <w:rPr>
          <w:rFonts w:asciiTheme="majorHAnsi" w:hAnsiTheme="majorHAnsi"/>
          <w:b/>
        </w:rPr>
        <w:t>, Class H felony)</w:t>
      </w:r>
    </w:p>
    <w:p w:rsidR="00AE74F4" w:rsidRPr="00D80D73" w:rsidRDefault="00AE74F4" w:rsidP="00875CC4">
      <w:pPr>
        <w:pStyle w:val="ListParagraph"/>
        <w:ind w:left="1080"/>
        <w:rPr>
          <w:rFonts w:asciiTheme="majorHAnsi" w:hAnsiTheme="majorHAnsi"/>
        </w:rPr>
      </w:pPr>
    </w:p>
    <w:p w:rsidR="003A5CB0" w:rsidRPr="00D80D73" w:rsidRDefault="003A5CB0" w:rsidP="00C3570F">
      <w:pPr>
        <w:pStyle w:val="ListParagraph"/>
        <w:numPr>
          <w:ilvl w:val="1"/>
          <w:numId w:val="24"/>
        </w:numPr>
        <w:ind w:left="1080"/>
        <w:rPr>
          <w:rFonts w:asciiTheme="majorHAnsi" w:hAnsiTheme="majorHAnsi"/>
        </w:rPr>
      </w:pPr>
      <w:r w:rsidRPr="00D80D73">
        <w:rPr>
          <w:rFonts w:asciiTheme="majorHAnsi" w:hAnsiTheme="majorHAnsi"/>
        </w:rPr>
        <w:t>Certain registered sex offenders may not knowingly be:</w:t>
      </w:r>
    </w:p>
    <w:p w:rsidR="003A5CB0" w:rsidRPr="00D80D73" w:rsidRDefault="003A5CB0" w:rsidP="00C3570F">
      <w:pPr>
        <w:pStyle w:val="ListParagraph"/>
        <w:ind w:left="1800"/>
        <w:rPr>
          <w:rFonts w:asciiTheme="majorHAnsi" w:hAnsiTheme="majorHAnsi"/>
        </w:rPr>
      </w:pPr>
    </w:p>
    <w:p w:rsidR="003A5CB0" w:rsidRPr="00D80D73" w:rsidRDefault="003A5CB0" w:rsidP="00C3570F">
      <w:pPr>
        <w:pStyle w:val="ListParagraph"/>
        <w:numPr>
          <w:ilvl w:val="0"/>
          <w:numId w:val="25"/>
        </w:numPr>
        <w:ind w:left="1800"/>
        <w:rPr>
          <w:rFonts w:asciiTheme="majorHAnsi" w:hAnsiTheme="majorHAnsi"/>
        </w:rPr>
      </w:pPr>
      <w:r w:rsidRPr="00D80D73">
        <w:rPr>
          <w:rFonts w:asciiTheme="majorHAnsi" w:hAnsiTheme="majorHAnsi"/>
        </w:rPr>
        <w:t>On the premises of any place intended primarily for the use, care, or supervision of minors, including but not limited to schools, children’s museums, child care centers, nurseries, and playgrounds.</w:t>
      </w:r>
    </w:p>
    <w:p w:rsidR="003A5CB0" w:rsidRPr="00D80D73" w:rsidRDefault="003A5CB0" w:rsidP="00C3570F">
      <w:pPr>
        <w:pStyle w:val="ListParagraph"/>
        <w:ind w:left="1800"/>
        <w:rPr>
          <w:rFonts w:asciiTheme="majorHAnsi" w:hAnsiTheme="majorHAnsi"/>
        </w:rPr>
      </w:pPr>
    </w:p>
    <w:p w:rsidR="003A5CB0" w:rsidRPr="00D80D73" w:rsidRDefault="003A5CB0" w:rsidP="00C3570F">
      <w:pPr>
        <w:pStyle w:val="ListParagraph"/>
        <w:numPr>
          <w:ilvl w:val="0"/>
          <w:numId w:val="25"/>
        </w:numPr>
        <w:ind w:left="1800"/>
        <w:rPr>
          <w:rFonts w:asciiTheme="majorHAnsi" w:hAnsiTheme="majorHAnsi"/>
        </w:rPr>
      </w:pPr>
      <w:r w:rsidRPr="00D80D73">
        <w:rPr>
          <w:rFonts w:asciiTheme="majorHAnsi" w:hAnsiTheme="majorHAnsi"/>
        </w:rPr>
        <w:t xml:space="preserve">Within 300 feet of any location intended primarily for the use, care, or supervision of minors when the place is located on premises that are not intended primarily for the use, care, or supervision of minors, including, but not limited to, places described in (a) that are located in malls, shopping centers, or other property open to the general public. </w:t>
      </w:r>
    </w:p>
    <w:p w:rsidR="003A5CB0" w:rsidRPr="00D80D73" w:rsidRDefault="003A5CB0" w:rsidP="00C3570F">
      <w:pPr>
        <w:pStyle w:val="ListParagraph"/>
        <w:ind w:left="360"/>
        <w:rPr>
          <w:rFonts w:asciiTheme="majorHAnsi" w:hAnsiTheme="majorHAnsi"/>
        </w:rPr>
      </w:pPr>
    </w:p>
    <w:p w:rsidR="003A5CB0" w:rsidRPr="00D80D73" w:rsidRDefault="003A5CB0" w:rsidP="00C3570F">
      <w:pPr>
        <w:pStyle w:val="ListParagraph"/>
        <w:numPr>
          <w:ilvl w:val="0"/>
          <w:numId w:val="25"/>
        </w:numPr>
        <w:ind w:left="1800"/>
        <w:rPr>
          <w:rFonts w:asciiTheme="majorHAnsi" w:hAnsiTheme="majorHAnsi"/>
        </w:rPr>
      </w:pPr>
      <w:r w:rsidRPr="00D80D73">
        <w:rPr>
          <w:rFonts w:asciiTheme="majorHAnsi" w:hAnsiTheme="majorHAnsi"/>
        </w:rPr>
        <w:t xml:space="preserve">At any place where minors gather for regularly scheduled education, recreational, or social programs. </w:t>
      </w:r>
    </w:p>
    <w:p w:rsidR="003A5CB0" w:rsidRPr="00D80D73" w:rsidRDefault="003A5CB0" w:rsidP="00C3570F">
      <w:pPr>
        <w:pStyle w:val="ListParagraph"/>
        <w:ind w:left="360"/>
        <w:rPr>
          <w:rFonts w:asciiTheme="majorHAnsi" w:hAnsiTheme="majorHAnsi"/>
        </w:rPr>
      </w:pPr>
    </w:p>
    <w:p w:rsidR="003A5CB0" w:rsidRPr="00D80D73" w:rsidRDefault="003A5CB0" w:rsidP="00C3570F">
      <w:pPr>
        <w:pStyle w:val="ListParagraph"/>
        <w:numPr>
          <w:ilvl w:val="1"/>
          <w:numId w:val="24"/>
        </w:numPr>
        <w:ind w:left="1080"/>
        <w:rPr>
          <w:rFonts w:asciiTheme="majorHAnsi" w:hAnsiTheme="majorHAnsi"/>
        </w:rPr>
      </w:pPr>
      <w:r w:rsidRPr="00D80D73">
        <w:rPr>
          <w:rFonts w:asciiTheme="majorHAnsi" w:hAnsiTheme="majorHAnsi"/>
          <w:i/>
        </w:rPr>
        <w:t>Applicability</w:t>
      </w:r>
      <w:r w:rsidRPr="00D80D73">
        <w:rPr>
          <w:rFonts w:asciiTheme="majorHAnsi" w:hAnsiTheme="majorHAnsi"/>
        </w:rPr>
        <w:t>.</w:t>
      </w:r>
      <w:r w:rsidR="003C7E69" w:rsidRPr="00D80D73">
        <w:rPr>
          <w:rFonts w:asciiTheme="majorHAnsi" w:hAnsiTheme="majorHAnsi"/>
        </w:rPr>
        <w:t xml:space="preserve"> This provision only applies to offenders required to register for:</w:t>
      </w:r>
    </w:p>
    <w:p w:rsidR="00E8567D" w:rsidRPr="00D80D73" w:rsidRDefault="00E8567D" w:rsidP="00C3570F">
      <w:pPr>
        <w:pStyle w:val="ListParagraph"/>
        <w:ind w:left="1800"/>
        <w:rPr>
          <w:rFonts w:asciiTheme="majorHAnsi" w:hAnsiTheme="majorHAnsi"/>
        </w:rPr>
      </w:pPr>
    </w:p>
    <w:p w:rsidR="003C7E69" w:rsidRPr="00D80D73" w:rsidRDefault="003C7E69" w:rsidP="00C3570F">
      <w:pPr>
        <w:pStyle w:val="ListParagraph"/>
        <w:numPr>
          <w:ilvl w:val="2"/>
          <w:numId w:val="24"/>
        </w:numPr>
        <w:ind w:left="1800"/>
        <w:rPr>
          <w:rFonts w:asciiTheme="majorHAnsi" w:hAnsiTheme="majorHAnsi"/>
        </w:rPr>
      </w:pPr>
      <w:r w:rsidRPr="00D80D73">
        <w:rPr>
          <w:rFonts w:asciiTheme="majorHAnsi" w:hAnsiTheme="majorHAnsi"/>
        </w:rPr>
        <w:t xml:space="preserve">Any offense in </w:t>
      </w:r>
      <w:r w:rsidR="003A5CB0" w:rsidRPr="00D80D73">
        <w:rPr>
          <w:rFonts w:asciiTheme="majorHAnsi" w:hAnsiTheme="majorHAnsi"/>
        </w:rPr>
        <w:t>Article 7A of Chapter 14 of the General Statutes</w:t>
      </w:r>
      <w:r w:rsidR="00E8567D" w:rsidRPr="00D80D73">
        <w:rPr>
          <w:rFonts w:asciiTheme="majorHAnsi" w:hAnsiTheme="majorHAnsi"/>
        </w:rPr>
        <w:t xml:space="preserve"> (</w:t>
      </w:r>
      <w:r w:rsidR="003A5CB0" w:rsidRPr="00D80D73">
        <w:rPr>
          <w:rFonts w:asciiTheme="majorHAnsi" w:hAnsiTheme="majorHAnsi"/>
        </w:rPr>
        <w:t>rape, sexual offense, sexual battery, intercourse and sexual offense by a custodian or school personnel, statutory rape</w:t>
      </w:r>
      <w:r w:rsidR="00E8567D" w:rsidRPr="00D80D73">
        <w:rPr>
          <w:rFonts w:asciiTheme="majorHAnsi" w:hAnsiTheme="majorHAnsi"/>
        </w:rPr>
        <w:t>)</w:t>
      </w:r>
      <w:r w:rsidRPr="00D80D73">
        <w:rPr>
          <w:rFonts w:asciiTheme="majorHAnsi" w:hAnsiTheme="majorHAnsi"/>
        </w:rPr>
        <w:t>; or</w:t>
      </w:r>
    </w:p>
    <w:p w:rsidR="003A5CB0" w:rsidRPr="00D80D73" w:rsidRDefault="003C7E69" w:rsidP="00C3570F">
      <w:pPr>
        <w:pStyle w:val="ListParagraph"/>
        <w:numPr>
          <w:ilvl w:val="2"/>
          <w:numId w:val="24"/>
        </w:numPr>
        <w:ind w:left="1800"/>
        <w:rPr>
          <w:rFonts w:asciiTheme="majorHAnsi" w:hAnsiTheme="majorHAnsi"/>
        </w:rPr>
      </w:pPr>
      <w:r w:rsidRPr="00D80D73">
        <w:rPr>
          <w:rFonts w:asciiTheme="majorHAnsi" w:hAnsiTheme="majorHAnsi"/>
        </w:rPr>
        <w:t>Any offense where the victim of the offense was under age 16 at the time of the offense.</w:t>
      </w:r>
    </w:p>
    <w:p w:rsidR="003A5CB0" w:rsidRPr="00D80D73" w:rsidRDefault="003A5CB0" w:rsidP="00C3570F">
      <w:pPr>
        <w:pStyle w:val="ListParagraph"/>
        <w:ind w:left="1080"/>
        <w:rPr>
          <w:rFonts w:asciiTheme="majorHAnsi" w:hAnsiTheme="majorHAnsi"/>
        </w:rPr>
      </w:pPr>
    </w:p>
    <w:p w:rsidR="005068DD" w:rsidRPr="00D80D73" w:rsidRDefault="003A5CB0" w:rsidP="00C3570F">
      <w:pPr>
        <w:pStyle w:val="ListParagraph"/>
        <w:numPr>
          <w:ilvl w:val="1"/>
          <w:numId w:val="24"/>
        </w:numPr>
        <w:ind w:left="1080"/>
        <w:rPr>
          <w:rFonts w:asciiTheme="majorHAnsi" w:hAnsiTheme="majorHAnsi"/>
        </w:rPr>
      </w:pPr>
      <w:r w:rsidRPr="00D80D73">
        <w:rPr>
          <w:rFonts w:asciiTheme="majorHAnsi" w:hAnsiTheme="majorHAnsi"/>
          <w:i/>
        </w:rPr>
        <w:t>Exceptions</w:t>
      </w:r>
      <w:r w:rsidR="003C7E69" w:rsidRPr="00D80D73">
        <w:rPr>
          <w:rFonts w:asciiTheme="majorHAnsi" w:hAnsiTheme="majorHAnsi"/>
          <w:i/>
        </w:rPr>
        <w:t xml:space="preserve">. </w:t>
      </w:r>
      <w:r w:rsidR="005068DD" w:rsidRPr="00D80D73">
        <w:rPr>
          <w:rFonts w:asciiTheme="majorHAnsi" w:hAnsiTheme="majorHAnsi"/>
        </w:rPr>
        <w:t>There are limited exceptions to G.S. 14-208.18.</w:t>
      </w:r>
    </w:p>
    <w:p w:rsidR="005068DD" w:rsidRPr="00D80D73" w:rsidRDefault="005068DD" w:rsidP="005068DD">
      <w:pPr>
        <w:pStyle w:val="ListParagraph"/>
        <w:ind w:left="2160"/>
        <w:rPr>
          <w:rFonts w:asciiTheme="majorHAnsi" w:hAnsiTheme="majorHAnsi"/>
        </w:rPr>
      </w:pPr>
    </w:p>
    <w:p w:rsidR="009E7064" w:rsidRPr="00D80D73" w:rsidRDefault="009E7064" w:rsidP="00D80D73">
      <w:pPr>
        <w:pStyle w:val="ListParagraph"/>
        <w:numPr>
          <w:ilvl w:val="2"/>
          <w:numId w:val="24"/>
        </w:numPr>
        <w:ind w:left="1800"/>
        <w:rPr>
          <w:rFonts w:asciiTheme="majorHAnsi" w:hAnsiTheme="majorHAnsi"/>
        </w:rPr>
      </w:pPr>
      <w:r w:rsidRPr="00D80D73">
        <w:rPr>
          <w:rFonts w:asciiTheme="majorHAnsi" w:hAnsiTheme="majorHAnsi"/>
        </w:rPr>
        <w:t>P</w:t>
      </w:r>
      <w:r w:rsidR="003A5CB0" w:rsidRPr="00D80D73">
        <w:rPr>
          <w:rFonts w:asciiTheme="majorHAnsi" w:hAnsiTheme="majorHAnsi"/>
        </w:rPr>
        <w:t xml:space="preserve">arents </w:t>
      </w:r>
      <w:r w:rsidRPr="00D80D73">
        <w:rPr>
          <w:rFonts w:asciiTheme="majorHAnsi" w:hAnsiTheme="majorHAnsi"/>
        </w:rPr>
        <w:t xml:space="preserve">or guardians who are </w:t>
      </w:r>
      <w:r w:rsidR="003A5CB0" w:rsidRPr="00D80D73">
        <w:rPr>
          <w:rFonts w:asciiTheme="majorHAnsi" w:hAnsiTheme="majorHAnsi"/>
        </w:rPr>
        <w:t xml:space="preserve">on school </w:t>
      </w:r>
      <w:r w:rsidRPr="00D80D73">
        <w:rPr>
          <w:rFonts w:asciiTheme="majorHAnsi" w:hAnsiTheme="majorHAnsi"/>
        </w:rPr>
        <w:t xml:space="preserve">property for specified purposes, </w:t>
      </w:r>
      <w:r w:rsidR="003A5CB0" w:rsidRPr="00D80D73">
        <w:rPr>
          <w:rFonts w:asciiTheme="majorHAnsi" w:hAnsiTheme="majorHAnsi"/>
        </w:rPr>
        <w:t xml:space="preserve">provided they have permission </w:t>
      </w:r>
      <w:r w:rsidR="00341648" w:rsidRPr="00D80D73">
        <w:rPr>
          <w:rFonts w:asciiTheme="majorHAnsi" w:hAnsiTheme="majorHAnsi"/>
        </w:rPr>
        <w:t xml:space="preserve">from the principal </w:t>
      </w:r>
      <w:r w:rsidR="00D80D73">
        <w:rPr>
          <w:rFonts w:asciiTheme="majorHAnsi" w:hAnsiTheme="majorHAnsi"/>
        </w:rPr>
        <w:t>and are supervised</w:t>
      </w:r>
      <w:r w:rsidRPr="00D80D73">
        <w:rPr>
          <w:rFonts w:asciiTheme="majorHAnsi" w:hAnsiTheme="majorHAnsi"/>
        </w:rPr>
        <w:t>. G.S. 14-208.18(d)</w:t>
      </w:r>
    </w:p>
    <w:p w:rsidR="009E7064" w:rsidRPr="00D80D73" w:rsidRDefault="009E7064" w:rsidP="00D80D73">
      <w:pPr>
        <w:pStyle w:val="ListParagraph"/>
        <w:numPr>
          <w:ilvl w:val="2"/>
          <w:numId w:val="24"/>
        </w:numPr>
        <w:ind w:left="1800"/>
        <w:rPr>
          <w:rFonts w:asciiTheme="majorHAnsi" w:hAnsiTheme="majorHAnsi"/>
        </w:rPr>
      </w:pPr>
      <w:r w:rsidRPr="00D80D73">
        <w:rPr>
          <w:rFonts w:asciiTheme="majorHAnsi" w:hAnsiTheme="majorHAnsi"/>
        </w:rPr>
        <w:t>A registrant may attend public school if otherwise eligible to attend under G.S. 115C-378 and if permitted by the local board of education. G.S. 14-208.18(f).</w:t>
      </w:r>
    </w:p>
    <w:p w:rsidR="009E7064" w:rsidRPr="00D80D73" w:rsidRDefault="009E7064" w:rsidP="00D80D73">
      <w:pPr>
        <w:pStyle w:val="ListParagraph"/>
        <w:numPr>
          <w:ilvl w:val="2"/>
          <w:numId w:val="24"/>
        </w:numPr>
        <w:ind w:left="1800"/>
        <w:rPr>
          <w:rFonts w:asciiTheme="majorHAnsi" w:hAnsiTheme="majorHAnsi"/>
        </w:rPr>
      </w:pPr>
      <w:r w:rsidRPr="00D80D73">
        <w:rPr>
          <w:rFonts w:asciiTheme="majorHAnsi" w:hAnsiTheme="majorHAnsi"/>
        </w:rPr>
        <w:t>A registrant may go to a location to vote even if the polling place is at an otherwise prohibited location. G.S. 14-208.18(e).</w:t>
      </w:r>
    </w:p>
    <w:p w:rsidR="00341648" w:rsidRPr="00D80D73" w:rsidRDefault="009E7064" w:rsidP="00D80D73">
      <w:pPr>
        <w:pStyle w:val="ListParagraph"/>
        <w:numPr>
          <w:ilvl w:val="2"/>
          <w:numId w:val="24"/>
        </w:numPr>
        <w:ind w:left="1800"/>
        <w:rPr>
          <w:rFonts w:asciiTheme="majorHAnsi" w:hAnsiTheme="majorHAnsi"/>
        </w:rPr>
      </w:pPr>
      <w:r w:rsidRPr="00D80D73">
        <w:rPr>
          <w:rFonts w:asciiTheme="majorHAnsi" w:hAnsiTheme="majorHAnsi"/>
        </w:rPr>
        <w:t>A juvenile offender may be present at a prohibited location to receive medical or mental health treatment so long as he or she remains under the direct supervision of an employee of the treatment provider at all times. G.S. 14-208.18(g).</w:t>
      </w:r>
    </w:p>
    <w:p w:rsidR="009E7064" w:rsidRPr="00D80D73" w:rsidRDefault="009E7064" w:rsidP="00D80D73">
      <w:pPr>
        <w:pStyle w:val="ListParagraph"/>
        <w:numPr>
          <w:ilvl w:val="2"/>
          <w:numId w:val="24"/>
        </w:numPr>
        <w:ind w:left="1800"/>
        <w:rPr>
          <w:rFonts w:asciiTheme="majorHAnsi" w:hAnsiTheme="majorHAnsi"/>
        </w:rPr>
      </w:pPr>
      <w:r w:rsidRPr="00D80D73">
        <w:rPr>
          <w:rFonts w:asciiTheme="majorHAnsi" w:hAnsiTheme="majorHAnsi"/>
        </w:rPr>
        <w:t>A registrant who is the parent or guardian of a minor may go to an otherwise prohibited location to obtain emergency medical care treatment for the minor. G.S. 14-208.18(b).</w:t>
      </w:r>
    </w:p>
    <w:p w:rsidR="00341648" w:rsidRPr="00D80D73" w:rsidRDefault="00341648" w:rsidP="00C3570F">
      <w:pPr>
        <w:pStyle w:val="ListParagraph"/>
        <w:ind w:left="1080"/>
        <w:rPr>
          <w:rFonts w:asciiTheme="majorHAnsi" w:hAnsiTheme="majorHAnsi"/>
        </w:rPr>
      </w:pPr>
    </w:p>
    <w:p w:rsidR="00D80D73" w:rsidRDefault="00D80D73">
      <w:pPr>
        <w:rPr>
          <w:rFonts w:asciiTheme="majorHAnsi" w:hAnsiTheme="majorHAnsi"/>
          <w:i/>
        </w:rPr>
      </w:pPr>
      <w:r>
        <w:rPr>
          <w:rFonts w:asciiTheme="majorHAnsi" w:hAnsiTheme="majorHAnsi"/>
          <w:i/>
        </w:rPr>
        <w:br w:type="page"/>
      </w:r>
    </w:p>
    <w:p w:rsidR="00341648" w:rsidRPr="00D80D73" w:rsidRDefault="00341648" w:rsidP="00C3570F">
      <w:pPr>
        <w:pStyle w:val="ListParagraph"/>
        <w:numPr>
          <w:ilvl w:val="1"/>
          <w:numId w:val="24"/>
        </w:numPr>
        <w:ind w:left="1080"/>
        <w:rPr>
          <w:rFonts w:asciiTheme="majorHAnsi" w:hAnsiTheme="majorHAnsi"/>
        </w:rPr>
      </w:pPr>
      <w:r w:rsidRPr="00D80D73">
        <w:rPr>
          <w:rFonts w:asciiTheme="majorHAnsi" w:hAnsiTheme="majorHAnsi"/>
          <w:i/>
        </w:rPr>
        <w:lastRenderedPageBreak/>
        <w:t>Issues</w:t>
      </w:r>
    </w:p>
    <w:p w:rsidR="00AE74F4" w:rsidRPr="00D80D73" w:rsidRDefault="00AE74F4" w:rsidP="00C3570F">
      <w:pPr>
        <w:pStyle w:val="ListParagraph"/>
        <w:rPr>
          <w:rFonts w:asciiTheme="majorHAnsi" w:hAnsiTheme="majorHAnsi"/>
        </w:rPr>
      </w:pPr>
    </w:p>
    <w:p w:rsidR="00341648" w:rsidRPr="00D80D73" w:rsidRDefault="00257097" w:rsidP="00C3570F">
      <w:pPr>
        <w:pStyle w:val="ListParagraph"/>
        <w:numPr>
          <w:ilvl w:val="2"/>
          <w:numId w:val="24"/>
        </w:numPr>
        <w:ind w:left="1800"/>
        <w:rPr>
          <w:rFonts w:asciiTheme="majorHAnsi" w:hAnsiTheme="majorHAnsi"/>
        </w:rPr>
      </w:pPr>
      <w:r w:rsidRPr="00D80D73">
        <w:rPr>
          <w:rFonts w:asciiTheme="majorHAnsi" w:hAnsiTheme="majorHAnsi"/>
          <w:i/>
        </w:rPr>
        <w:t>Prohibited radius</w:t>
      </w:r>
      <w:r w:rsidRPr="00D80D73">
        <w:rPr>
          <w:rFonts w:asciiTheme="majorHAnsi" w:hAnsiTheme="majorHAnsi"/>
        </w:rPr>
        <w:t xml:space="preserve">. Subsection (a) </w:t>
      </w:r>
      <w:r w:rsidR="00341648" w:rsidRPr="00D80D73">
        <w:rPr>
          <w:rFonts w:asciiTheme="majorHAnsi" w:hAnsiTheme="majorHAnsi"/>
        </w:rPr>
        <w:t xml:space="preserve">does not place a prohibited radius around </w:t>
      </w:r>
      <w:r w:rsidRPr="00D80D73">
        <w:rPr>
          <w:rFonts w:asciiTheme="majorHAnsi" w:hAnsiTheme="majorHAnsi"/>
        </w:rPr>
        <w:t>the listed premises. Thus, there generally is no radius around a building like a school, which is primarily for minors</w:t>
      </w:r>
      <w:r w:rsidR="00341648" w:rsidRPr="00D80D73">
        <w:rPr>
          <w:rFonts w:asciiTheme="majorHAnsi" w:hAnsiTheme="majorHAnsi"/>
        </w:rPr>
        <w:t>.</w:t>
      </w:r>
      <w:r w:rsidRPr="00D80D73">
        <w:rPr>
          <w:rFonts w:asciiTheme="majorHAnsi" w:hAnsiTheme="majorHAnsi"/>
        </w:rPr>
        <w:t xml:space="preserve"> The 300 foot radius of subsection (b) applies only to locations intended primarily for minors that are located on broader premises that are not intended primarily for minors, such as a play area at a shopping mall. </w:t>
      </w:r>
    </w:p>
    <w:p w:rsidR="00D80D73" w:rsidRPr="00D80D73" w:rsidRDefault="00D80D73" w:rsidP="00D80D73">
      <w:pPr>
        <w:pStyle w:val="ListParagraph"/>
        <w:ind w:left="1800"/>
        <w:rPr>
          <w:rFonts w:asciiTheme="majorHAnsi" w:hAnsiTheme="majorHAnsi"/>
          <w:i/>
        </w:rPr>
      </w:pPr>
    </w:p>
    <w:p w:rsidR="00257097" w:rsidRPr="00D80D73" w:rsidRDefault="00257097" w:rsidP="00C3570F">
      <w:pPr>
        <w:pStyle w:val="ListParagraph"/>
        <w:numPr>
          <w:ilvl w:val="2"/>
          <w:numId w:val="24"/>
        </w:numPr>
        <w:ind w:left="1800"/>
        <w:rPr>
          <w:rFonts w:asciiTheme="majorHAnsi" w:hAnsiTheme="majorHAnsi"/>
          <w:i/>
        </w:rPr>
      </w:pPr>
      <w:r w:rsidRPr="00D80D73">
        <w:rPr>
          <w:rFonts w:asciiTheme="majorHAnsi" w:hAnsiTheme="majorHAnsi"/>
          <w:i/>
        </w:rPr>
        <w:t xml:space="preserve">Constitutionality. </w:t>
      </w:r>
      <w:r w:rsidRPr="00D80D73">
        <w:rPr>
          <w:rFonts w:asciiTheme="majorHAnsi" w:hAnsiTheme="majorHAnsi"/>
        </w:rPr>
        <w:t>Subdivision G.S. 14-208.18(a)(3) was deemed unconstitutionally vague as applied to a defendant accused of (</w:t>
      </w:r>
      <w:r w:rsidR="00D80D73">
        <w:rPr>
          <w:rFonts w:asciiTheme="majorHAnsi" w:hAnsiTheme="majorHAnsi"/>
        </w:rPr>
        <w:t>1</w:t>
      </w:r>
      <w:r w:rsidRPr="00D80D73">
        <w:rPr>
          <w:rFonts w:asciiTheme="majorHAnsi" w:hAnsiTheme="majorHAnsi"/>
        </w:rPr>
        <w:t>) being in “close to the parking lot area” at a county park that had a youth softball field and (</w:t>
      </w:r>
      <w:r w:rsidR="00D80D73">
        <w:rPr>
          <w:rFonts w:asciiTheme="majorHAnsi" w:hAnsiTheme="majorHAnsi"/>
        </w:rPr>
        <w:t>2</w:t>
      </w:r>
      <w:bookmarkStart w:id="0" w:name="_GoBack"/>
      <w:bookmarkEnd w:id="0"/>
      <w:r w:rsidRPr="00D80D73">
        <w:rPr>
          <w:rFonts w:asciiTheme="majorHAnsi" w:hAnsiTheme="majorHAnsi"/>
        </w:rPr>
        <w:t>) playing softball on an adult softball field adjacent to a youth tee ball field. The court of appeals held that it would not be clear to a reasonable person that these areas were “places where minors gather” within the language of G.S. 14-208.18(a</w:t>
      </w:r>
      <w:proofErr w:type="gramStart"/>
      <w:r w:rsidRPr="00D80D73">
        <w:rPr>
          <w:rFonts w:asciiTheme="majorHAnsi" w:hAnsiTheme="majorHAnsi"/>
        </w:rPr>
        <w:t>)(</w:t>
      </w:r>
      <w:proofErr w:type="gramEnd"/>
      <w:r w:rsidRPr="00D80D73">
        <w:rPr>
          <w:rFonts w:asciiTheme="majorHAnsi" w:hAnsiTheme="majorHAnsi"/>
        </w:rPr>
        <w:t>3), and thus held the law to be unconstitutionally vague. State v. Daniels, __ N.C. App. __ (Dec. 31, 2012).</w:t>
      </w:r>
    </w:p>
    <w:p w:rsidR="00D80D73" w:rsidRPr="00D80D73" w:rsidRDefault="00D80D73" w:rsidP="00D80D73">
      <w:pPr>
        <w:pStyle w:val="ListParagraph"/>
        <w:ind w:left="1800"/>
        <w:rPr>
          <w:rFonts w:asciiTheme="majorHAnsi" w:hAnsiTheme="majorHAnsi"/>
          <w:i/>
        </w:rPr>
      </w:pPr>
    </w:p>
    <w:p w:rsidR="00257097" w:rsidRPr="00D80D73" w:rsidRDefault="00257097" w:rsidP="00C3570F">
      <w:pPr>
        <w:pStyle w:val="ListParagraph"/>
        <w:numPr>
          <w:ilvl w:val="2"/>
          <w:numId w:val="24"/>
        </w:numPr>
        <w:ind w:left="1800"/>
        <w:rPr>
          <w:rFonts w:asciiTheme="majorHAnsi" w:hAnsiTheme="majorHAnsi"/>
          <w:i/>
        </w:rPr>
      </w:pPr>
      <w:r w:rsidRPr="00D80D73">
        <w:rPr>
          <w:rFonts w:asciiTheme="majorHAnsi" w:hAnsiTheme="majorHAnsi"/>
          <w:i/>
        </w:rPr>
        <w:t>First Amendment/Religion Issues</w:t>
      </w:r>
      <w:r w:rsidRPr="00D80D73">
        <w:rPr>
          <w:rFonts w:asciiTheme="majorHAnsi" w:hAnsiTheme="majorHAnsi"/>
        </w:rPr>
        <w:t xml:space="preserve">. North Carolina’s appellate courts have not yet decided a case on the issue of whether this prohibition violates the First Amendment by prohibiting a covered offender from attending religious services (because, for example, the church has a nursery around which a 300-foot prohibited radius applies, or </w:t>
      </w:r>
      <w:r w:rsidR="00E54279" w:rsidRPr="00D80D73">
        <w:rPr>
          <w:rFonts w:asciiTheme="majorHAnsi" w:hAnsiTheme="majorHAnsi"/>
        </w:rPr>
        <w:t xml:space="preserve">regularly scheduled youth </w:t>
      </w:r>
      <w:r w:rsidR="00700406" w:rsidRPr="00D80D73">
        <w:rPr>
          <w:rFonts w:asciiTheme="majorHAnsi" w:hAnsiTheme="majorHAnsi"/>
        </w:rPr>
        <w:t>programs</w:t>
      </w:r>
      <w:r w:rsidR="00E8567D" w:rsidRPr="00D80D73">
        <w:rPr>
          <w:rFonts w:asciiTheme="majorHAnsi" w:hAnsiTheme="majorHAnsi"/>
        </w:rPr>
        <w:t>)</w:t>
      </w:r>
      <w:r w:rsidR="00700406" w:rsidRPr="00D80D73">
        <w:rPr>
          <w:rFonts w:asciiTheme="majorHAnsi" w:hAnsiTheme="majorHAnsi"/>
        </w:rPr>
        <w:t>.</w:t>
      </w:r>
    </w:p>
    <w:p w:rsidR="00E8567D" w:rsidRPr="00D80D73" w:rsidRDefault="00E8567D" w:rsidP="00875CC4">
      <w:pPr>
        <w:pStyle w:val="ListParagraph"/>
        <w:ind w:left="1080"/>
        <w:rPr>
          <w:rFonts w:asciiTheme="majorHAnsi" w:hAnsiTheme="majorHAnsi"/>
        </w:rPr>
      </w:pPr>
    </w:p>
    <w:p w:rsidR="008D08C6" w:rsidRPr="00D80D73" w:rsidRDefault="00A051D7" w:rsidP="008D08C6">
      <w:pPr>
        <w:pStyle w:val="ListParagraph"/>
        <w:numPr>
          <w:ilvl w:val="0"/>
          <w:numId w:val="23"/>
        </w:numPr>
        <w:rPr>
          <w:rFonts w:asciiTheme="majorHAnsi" w:hAnsiTheme="majorHAnsi"/>
          <w:b/>
        </w:rPr>
      </w:pPr>
      <w:r w:rsidRPr="00D80D73">
        <w:rPr>
          <w:rFonts w:asciiTheme="majorHAnsi" w:hAnsiTheme="majorHAnsi"/>
          <w:b/>
        </w:rPr>
        <w:t>Work R</w:t>
      </w:r>
      <w:r w:rsidR="008D08C6" w:rsidRPr="00D80D73">
        <w:rPr>
          <w:rFonts w:asciiTheme="majorHAnsi" w:hAnsiTheme="majorHAnsi"/>
          <w:b/>
        </w:rPr>
        <w:t xml:space="preserve">estrictions </w:t>
      </w:r>
    </w:p>
    <w:p w:rsidR="008D08C6" w:rsidRPr="00D80D73" w:rsidRDefault="008D08C6" w:rsidP="008D08C6">
      <w:pPr>
        <w:pStyle w:val="ListParagraph"/>
        <w:rPr>
          <w:rFonts w:asciiTheme="majorHAnsi" w:hAnsiTheme="majorHAnsi"/>
        </w:rPr>
      </w:pPr>
    </w:p>
    <w:p w:rsidR="008D08C6" w:rsidRPr="00D80D73" w:rsidRDefault="008D08C6" w:rsidP="008D08C6">
      <w:pPr>
        <w:pStyle w:val="ListParagraph"/>
        <w:numPr>
          <w:ilvl w:val="1"/>
          <w:numId w:val="24"/>
        </w:numPr>
        <w:rPr>
          <w:rFonts w:asciiTheme="majorHAnsi" w:hAnsiTheme="majorHAnsi"/>
        </w:rPr>
      </w:pPr>
      <w:r w:rsidRPr="00D80D73">
        <w:rPr>
          <w:rFonts w:asciiTheme="majorHAnsi" w:hAnsiTheme="majorHAnsi"/>
          <w:b/>
        </w:rPr>
        <w:t xml:space="preserve">Working or volunteering in activities involving minors </w:t>
      </w:r>
      <w:r w:rsidRPr="00D80D73">
        <w:rPr>
          <w:rFonts w:asciiTheme="majorHAnsi" w:hAnsiTheme="majorHAnsi"/>
        </w:rPr>
        <w:t>(G.S. 14-208.17(a), Class F felony)</w:t>
      </w:r>
    </w:p>
    <w:p w:rsidR="008D08C6" w:rsidRPr="00D80D73" w:rsidRDefault="008D08C6" w:rsidP="008D08C6">
      <w:pPr>
        <w:pStyle w:val="ListParagraph"/>
        <w:ind w:left="1440"/>
        <w:rPr>
          <w:rFonts w:asciiTheme="majorHAnsi" w:hAnsiTheme="majorHAnsi"/>
          <w:b/>
        </w:rPr>
      </w:pPr>
    </w:p>
    <w:p w:rsidR="008D08C6" w:rsidRPr="00D80D73" w:rsidRDefault="008D08C6" w:rsidP="008D08C6">
      <w:pPr>
        <w:pStyle w:val="ListParagraph"/>
        <w:numPr>
          <w:ilvl w:val="2"/>
          <w:numId w:val="24"/>
        </w:numPr>
        <w:rPr>
          <w:rFonts w:asciiTheme="majorHAnsi" w:hAnsiTheme="majorHAnsi"/>
        </w:rPr>
      </w:pPr>
      <w:r w:rsidRPr="00D80D73">
        <w:rPr>
          <w:rFonts w:asciiTheme="majorHAnsi" w:hAnsiTheme="majorHAnsi"/>
        </w:rPr>
        <w:t xml:space="preserve">No registered sex offender may work or volunteer, with or without compensation, at any place where a minor is present and the registrant’s responsibilities would include instruction, supervision, or care of a minor or minors. </w:t>
      </w:r>
    </w:p>
    <w:p w:rsidR="008D08C6" w:rsidRPr="00D80D73" w:rsidRDefault="008D08C6" w:rsidP="008D08C6">
      <w:pPr>
        <w:pStyle w:val="ListParagraph"/>
        <w:ind w:left="1440"/>
        <w:rPr>
          <w:rFonts w:asciiTheme="majorHAnsi" w:hAnsiTheme="majorHAnsi"/>
        </w:rPr>
      </w:pPr>
    </w:p>
    <w:p w:rsidR="008D08C6" w:rsidRPr="00D80D73" w:rsidRDefault="008D08C6" w:rsidP="008D08C6">
      <w:pPr>
        <w:pStyle w:val="ListParagraph"/>
        <w:numPr>
          <w:ilvl w:val="1"/>
          <w:numId w:val="24"/>
        </w:numPr>
        <w:rPr>
          <w:rFonts w:asciiTheme="majorHAnsi" w:hAnsiTheme="majorHAnsi"/>
        </w:rPr>
      </w:pPr>
      <w:r w:rsidRPr="00D80D73">
        <w:rPr>
          <w:rFonts w:asciiTheme="majorHAnsi" w:hAnsiTheme="majorHAnsi"/>
          <w:b/>
        </w:rPr>
        <w:t xml:space="preserve">Caring for a minor when a sex offender resides in the same location </w:t>
      </w:r>
      <w:r w:rsidRPr="00D80D73">
        <w:rPr>
          <w:rFonts w:asciiTheme="majorHAnsi" w:hAnsiTheme="majorHAnsi"/>
        </w:rPr>
        <w:t>(G.S. 14-208.17(b), Class F felony)</w:t>
      </w:r>
    </w:p>
    <w:p w:rsidR="008D08C6" w:rsidRPr="00D80D73" w:rsidRDefault="008D08C6" w:rsidP="008D08C6">
      <w:pPr>
        <w:pStyle w:val="ListParagraph"/>
        <w:ind w:left="2160"/>
        <w:rPr>
          <w:rFonts w:asciiTheme="majorHAnsi" w:hAnsiTheme="majorHAnsi"/>
          <w:b/>
        </w:rPr>
      </w:pPr>
    </w:p>
    <w:p w:rsidR="0053698C" w:rsidRPr="00D80D73" w:rsidRDefault="008D08C6" w:rsidP="0053698C">
      <w:pPr>
        <w:pStyle w:val="ListParagraph"/>
        <w:numPr>
          <w:ilvl w:val="2"/>
          <w:numId w:val="24"/>
        </w:numPr>
        <w:rPr>
          <w:rFonts w:asciiTheme="majorHAnsi" w:hAnsiTheme="majorHAnsi"/>
        </w:rPr>
      </w:pPr>
      <w:r w:rsidRPr="00D80D73">
        <w:rPr>
          <w:rFonts w:asciiTheme="majorHAnsi" w:hAnsiTheme="majorHAnsi"/>
        </w:rPr>
        <w:t xml:space="preserve">No person may conduct any activity </w:t>
      </w:r>
      <w:r w:rsidR="0053698C" w:rsidRPr="00D80D73">
        <w:rPr>
          <w:rFonts w:asciiTheme="majorHAnsi" w:hAnsiTheme="majorHAnsi"/>
        </w:rPr>
        <w:t xml:space="preserve">where he or she </w:t>
      </w:r>
      <w:r w:rsidRPr="00D80D73">
        <w:rPr>
          <w:rFonts w:asciiTheme="majorHAnsi" w:hAnsiTheme="majorHAnsi"/>
        </w:rPr>
        <w:t>accepts a minor or minors into his or her care or custody from another</w:t>
      </w:r>
      <w:r w:rsidR="0053698C" w:rsidRPr="00D80D73">
        <w:rPr>
          <w:rFonts w:asciiTheme="majorHAnsi" w:hAnsiTheme="majorHAnsi"/>
        </w:rPr>
        <w:t xml:space="preserve"> k</w:t>
      </w:r>
      <w:r w:rsidRPr="00D80D73">
        <w:rPr>
          <w:rFonts w:asciiTheme="majorHAnsi" w:hAnsiTheme="majorHAnsi"/>
        </w:rPr>
        <w:t>nowing that a person who resides at the same location is required to register as a sex offender</w:t>
      </w:r>
      <w:r w:rsidR="0053698C" w:rsidRPr="00D80D73">
        <w:rPr>
          <w:rFonts w:asciiTheme="majorHAnsi" w:hAnsiTheme="majorHAnsi"/>
        </w:rPr>
        <w:t>.</w:t>
      </w:r>
    </w:p>
    <w:p w:rsidR="0053698C" w:rsidRPr="00D80D73" w:rsidRDefault="0053698C" w:rsidP="0053698C">
      <w:pPr>
        <w:pStyle w:val="ListParagraph"/>
        <w:numPr>
          <w:ilvl w:val="2"/>
          <w:numId w:val="24"/>
        </w:numPr>
        <w:rPr>
          <w:rFonts w:asciiTheme="majorHAnsi" w:hAnsiTheme="majorHAnsi"/>
        </w:rPr>
      </w:pPr>
      <w:r w:rsidRPr="00D80D73">
        <w:rPr>
          <w:rFonts w:asciiTheme="majorHAnsi" w:hAnsiTheme="majorHAnsi"/>
        </w:rPr>
        <w:t>Note that the law applies to minors accepted “from another,” and does not generally bar a registra</w:t>
      </w:r>
      <w:r w:rsidR="005A30DE" w:rsidRPr="00D80D73">
        <w:rPr>
          <w:rFonts w:asciiTheme="majorHAnsi" w:hAnsiTheme="majorHAnsi"/>
        </w:rPr>
        <w:t xml:space="preserve">nt from living with minors. </w:t>
      </w:r>
    </w:p>
    <w:p w:rsidR="0053698C" w:rsidRPr="00D80D73" w:rsidRDefault="0053698C" w:rsidP="0053698C">
      <w:pPr>
        <w:pStyle w:val="ListParagraph"/>
        <w:ind w:left="1440"/>
        <w:rPr>
          <w:rFonts w:asciiTheme="majorHAnsi" w:hAnsiTheme="majorHAnsi"/>
        </w:rPr>
      </w:pPr>
    </w:p>
    <w:p w:rsidR="0053698C" w:rsidRPr="00D80D73" w:rsidRDefault="008D08C6" w:rsidP="008D08C6">
      <w:pPr>
        <w:pStyle w:val="ListParagraph"/>
        <w:numPr>
          <w:ilvl w:val="1"/>
          <w:numId w:val="24"/>
        </w:numPr>
        <w:rPr>
          <w:rFonts w:asciiTheme="majorHAnsi" w:hAnsiTheme="majorHAnsi"/>
        </w:rPr>
      </w:pPr>
      <w:r w:rsidRPr="00D80D73">
        <w:rPr>
          <w:rFonts w:asciiTheme="majorHAnsi" w:hAnsiTheme="majorHAnsi"/>
          <w:b/>
        </w:rPr>
        <w:lastRenderedPageBreak/>
        <w:t xml:space="preserve">Babysitting service </w:t>
      </w:r>
      <w:r w:rsidRPr="00D80D73">
        <w:rPr>
          <w:rFonts w:asciiTheme="majorHAnsi" w:hAnsiTheme="majorHAnsi"/>
        </w:rPr>
        <w:t>(G.S. 14-321.1, Class 1 misdemeanor for first offense, Class H felony for second and subsequent offenses)</w:t>
      </w:r>
    </w:p>
    <w:p w:rsidR="0053698C" w:rsidRPr="00D80D73" w:rsidRDefault="0053698C" w:rsidP="0053698C">
      <w:pPr>
        <w:pStyle w:val="ListParagraph"/>
        <w:ind w:left="2160"/>
        <w:rPr>
          <w:rFonts w:asciiTheme="majorHAnsi" w:hAnsiTheme="majorHAnsi"/>
        </w:rPr>
      </w:pPr>
    </w:p>
    <w:p w:rsidR="00B11BBC" w:rsidRPr="00D80D73" w:rsidRDefault="0053698C" w:rsidP="00B11BBC">
      <w:pPr>
        <w:pStyle w:val="ListParagraph"/>
        <w:numPr>
          <w:ilvl w:val="2"/>
          <w:numId w:val="24"/>
        </w:numPr>
        <w:rPr>
          <w:rFonts w:asciiTheme="majorHAnsi" w:hAnsiTheme="majorHAnsi"/>
        </w:rPr>
      </w:pPr>
      <w:r w:rsidRPr="00D80D73">
        <w:rPr>
          <w:rFonts w:asciiTheme="majorHAnsi" w:hAnsiTheme="majorHAnsi"/>
        </w:rPr>
        <w:t>No person may provide babysitting services—</w:t>
      </w:r>
      <w:r w:rsidR="008D08C6" w:rsidRPr="00D80D73">
        <w:rPr>
          <w:rFonts w:asciiTheme="majorHAnsi" w:hAnsiTheme="majorHAnsi"/>
        </w:rPr>
        <w:t>defined in G.S. 14-321.1(a) as providing, for profit, supervision or care of a minor child under 13 who is unrelated to the provider by blood, marriage, or adoption, for more than two hours per day while the child’s parents or guardian are not on the premises</w:t>
      </w:r>
      <w:r w:rsidRPr="00D80D73">
        <w:rPr>
          <w:rFonts w:asciiTheme="majorHAnsi" w:hAnsiTheme="majorHAnsi"/>
        </w:rPr>
        <w:t>—i</w:t>
      </w:r>
      <w:r w:rsidR="008D08C6" w:rsidRPr="00D80D73">
        <w:rPr>
          <w:rFonts w:asciiTheme="majorHAnsi" w:hAnsiTheme="majorHAnsi"/>
        </w:rPr>
        <w:t>n</w:t>
      </w:r>
      <w:r w:rsidRPr="00D80D73">
        <w:rPr>
          <w:rFonts w:asciiTheme="majorHAnsi" w:hAnsiTheme="majorHAnsi"/>
        </w:rPr>
        <w:t xml:space="preserve"> </w:t>
      </w:r>
      <w:r w:rsidR="008D08C6" w:rsidRPr="00D80D73">
        <w:rPr>
          <w:rFonts w:asciiTheme="majorHAnsi" w:hAnsiTheme="majorHAnsi"/>
        </w:rPr>
        <w:t>a home where a registered sex offender resides, or</w:t>
      </w:r>
      <w:r w:rsidRPr="00D80D73">
        <w:rPr>
          <w:rFonts w:asciiTheme="majorHAnsi" w:hAnsiTheme="majorHAnsi"/>
        </w:rPr>
        <w:t xml:space="preserve"> w</w:t>
      </w:r>
      <w:r w:rsidR="008D08C6" w:rsidRPr="00D80D73">
        <w:rPr>
          <w:rFonts w:asciiTheme="majorHAnsi" w:hAnsiTheme="majorHAnsi"/>
        </w:rPr>
        <w:t xml:space="preserve">hen a registered offender is a provider of the service. </w:t>
      </w:r>
    </w:p>
    <w:p w:rsidR="00E25A72" w:rsidRPr="00D80D73" w:rsidRDefault="00E25A72" w:rsidP="00E25A72">
      <w:pPr>
        <w:pStyle w:val="ListParagraph"/>
        <w:ind w:left="2160"/>
        <w:rPr>
          <w:rFonts w:asciiTheme="majorHAnsi" w:hAnsiTheme="majorHAnsi"/>
        </w:rPr>
      </w:pPr>
    </w:p>
    <w:p w:rsidR="00E25A72" w:rsidRPr="00D80D73" w:rsidRDefault="00E25A72" w:rsidP="00E25A72">
      <w:pPr>
        <w:pStyle w:val="ListParagraph"/>
        <w:numPr>
          <w:ilvl w:val="1"/>
          <w:numId w:val="24"/>
        </w:numPr>
        <w:rPr>
          <w:rFonts w:asciiTheme="majorHAnsi" w:hAnsiTheme="majorHAnsi"/>
        </w:rPr>
      </w:pPr>
      <w:r w:rsidRPr="00D80D73">
        <w:rPr>
          <w:rFonts w:asciiTheme="majorHAnsi" w:hAnsiTheme="majorHAnsi"/>
          <w:b/>
        </w:rPr>
        <w:t xml:space="preserve">Commercial </w:t>
      </w:r>
      <w:proofErr w:type="spellStart"/>
      <w:r w:rsidRPr="00D80D73">
        <w:rPr>
          <w:rFonts w:asciiTheme="majorHAnsi" w:hAnsiTheme="majorHAnsi"/>
          <w:b/>
        </w:rPr>
        <w:t>drivers</w:t>
      </w:r>
      <w:proofErr w:type="spellEnd"/>
      <w:r w:rsidRPr="00D80D73">
        <w:rPr>
          <w:rFonts w:asciiTheme="majorHAnsi" w:hAnsiTheme="majorHAnsi"/>
          <w:b/>
        </w:rPr>
        <w:t xml:space="preserve"> license restriction</w:t>
      </w:r>
      <w:r w:rsidRPr="00D80D73">
        <w:rPr>
          <w:rFonts w:asciiTheme="majorHAnsi" w:hAnsiTheme="majorHAnsi"/>
        </w:rPr>
        <w:t xml:space="preserve"> (G.S. 14-208.19A; G.S. 20-27.1, Class F felony)</w:t>
      </w:r>
    </w:p>
    <w:p w:rsidR="00E25A72" w:rsidRPr="00D80D73" w:rsidRDefault="00E25A72" w:rsidP="00E25A72">
      <w:pPr>
        <w:pStyle w:val="ListParagraph"/>
        <w:ind w:left="1440"/>
        <w:rPr>
          <w:rFonts w:asciiTheme="majorHAnsi" w:hAnsiTheme="majorHAnsi"/>
        </w:rPr>
      </w:pPr>
    </w:p>
    <w:p w:rsidR="005068DD" w:rsidRPr="00D80D73" w:rsidRDefault="005068DD" w:rsidP="005068DD">
      <w:pPr>
        <w:pStyle w:val="ListParagraph"/>
        <w:numPr>
          <w:ilvl w:val="2"/>
          <w:numId w:val="24"/>
        </w:numPr>
        <w:rPr>
          <w:rFonts w:asciiTheme="majorHAnsi" w:hAnsiTheme="majorHAnsi"/>
        </w:rPr>
      </w:pPr>
      <w:r w:rsidRPr="00D80D73">
        <w:rPr>
          <w:rFonts w:asciiTheme="majorHAnsi" w:hAnsiTheme="majorHAnsi"/>
        </w:rPr>
        <w:t xml:space="preserve">No person required to register as a sex offender may obtain or renew a commercial </w:t>
      </w:r>
      <w:proofErr w:type="spellStart"/>
      <w:proofErr w:type="gramStart"/>
      <w:r w:rsidRPr="00D80D73">
        <w:rPr>
          <w:rFonts w:asciiTheme="majorHAnsi" w:hAnsiTheme="majorHAnsi"/>
        </w:rPr>
        <w:t>drivers</w:t>
      </w:r>
      <w:proofErr w:type="spellEnd"/>
      <w:proofErr w:type="gramEnd"/>
      <w:r w:rsidRPr="00D80D73">
        <w:rPr>
          <w:rFonts w:asciiTheme="majorHAnsi" w:hAnsiTheme="majorHAnsi"/>
        </w:rPr>
        <w:t xml:space="preserve"> license with a “P” or “S” endorsement. Any person who drives a commercial passenger vehicle or school bus </w:t>
      </w:r>
      <w:proofErr w:type="gramStart"/>
      <w:r w:rsidRPr="00D80D73">
        <w:rPr>
          <w:rFonts w:asciiTheme="majorHAnsi" w:hAnsiTheme="majorHAnsi"/>
        </w:rPr>
        <w:t>who</w:t>
      </w:r>
      <w:proofErr w:type="gramEnd"/>
      <w:r w:rsidRPr="00D80D73">
        <w:rPr>
          <w:rFonts w:asciiTheme="majorHAnsi" w:hAnsiTheme="majorHAnsi"/>
        </w:rPr>
        <w:t xml:space="preserve"> does not have a CDL with a “P” or “S” endorsement because of his or her registration commits a Class F felony.</w:t>
      </w:r>
    </w:p>
    <w:p w:rsidR="00A051D7" w:rsidRPr="00D80D73" w:rsidRDefault="00A051D7" w:rsidP="00A051D7">
      <w:pPr>
        <w:pStyle w:val="ListParagraph"/>
        <w:ind w:left="1440"/>
        <w:rPr>
          <w:rFonts w:asciiTheme="majorHAnsi" w:hAnsiTheme="majorHAnsi"/>
        </w:rPr>
      </w:pPr>
    </w:p>
    <w:p w:rsidR="00E25A72" w:rsidRPr="00D80D73" w:rsidRDefault="00E25A72" w:rsidP="00E25A72">
      <w:pPr>
        <w:pStyle w:val="ListParagraph"/>
        <w:numPr>
          <w:ilvl w:val="1"/>
          <w:numId w:val="24"/>
        </w:numPr>
        <w:rPr>
          <w:rFonts w:asciiTheme="majorHAnsi" w:hAnsiTheme="majorHAnsi"/>
        </w:rPr>
      </w:pPr>
      <w:r w:rsidRPr="00D80D73">
        <w:rPr>
          <w:rFonts w:asciiTheme="majorHAnsi" w:hAnsiTheme="majorHAnsi"/>
          <w:b/>
        </w:rPr>
        <w:t xml:space="preserve">EMS credentials </w:t>
      </w:r>
      <w:r w:rsidRPr="00D80D73">
        <w:rPr>
          <w:rFonts w:asciiTheme="majorHAnsi" w:hAnsiTheme="majorHAnsi"/>
        </w:rPr>
        <w:t>(G.S. 131E-159; Class F felony)</w:t>
      </w:r>
    </w:p>
    <w:p w:rsidR="005068DD" w:rsidRPr="00D80D73" w:rsidRDefault="005068DD" w:rsidP="005068DD">
      <w:pPr>
        <w:pStyle w:val="ListParagraph"/>
        <w:ind w:left="2160"/>
        <w:rPr>
          <w:rFonts w:asciiTheme="majorHAnsi" w:hAnsiTheme="majorHAnsi"/>
        </w:rPr>
      </w:pPr>
    </w:p>
    <w:p w:rsidR="005068DD" w:rsidRPr="00D80D73" w:rsidRDefault="005068DD" w:rsidP="005068DD">
      <w:pPr>
        <w:pStyle w:val="ListParagraph"/>
        <w:numPr>
          <w:ilvl w:val="2"/>
          <w:numId w:val="24"/>
        </w:numPr>
        <w:rPr>
          <w:rFonts w:asciiTheme="majorHAnsi" w:hAnsiTheme="majorHAnsi"/>
        </w:rPr>
      </w:pPr>
      <w:r w:rsidRPr="00D80D73">
        <w:rPr>
          <w:rFonts w:asciiTheme="majorHAnsi" w:hAnsiTheme="majorHAnsi"/>
        </w:rPr>
        <w:t>No person convicted of a crime that would be a reportable sex crime if committed today may be issued EMS credentials. DHHS may not renew the credentials of any person who would be ineligible for EMS credentials under this law.</w:t>
      </w:r>
    </w:p>
    <w:p w:rsidR="00E25A72" w:rsidRPr="00D80D73" w:rsidRDefault="00E25A72" w:rsidP="00E25A72">
      <w:pPr>
        <w:pStyle w:val="ListParagraph"/>
        <w:ind w:left="1440"/>
        <w:rPr>
          <w:rFonts w:asciiTheme="majorHAnsi" w:hAnsiTheme="majorHAnsi"/>
        </w:rPr>
      </w:pPr>
    </w:p>
    <w:p w:rsidR="003A5CB0" w:rsidRPr="00D80D73" w:rsidRDefault="00A051D7" w:rsidP="00A051D7">
      <w:pPr>
        <w:pStyle w:val="ListParagraph"/>
        <w:numPr>
          <w:ilvl w:val="0"/>
          <w:numId w:val="23"/>
        </w:numPr>
        <w:rPr>
          <w:rFonts w:asciiTheme="majorHAnsi" w:hAnsiTheme="majorHAnsi"/>
        </w:rPr>
      </w:pPr>
      <w:r w:rsidRPr="00D80D73">
        <w:rPr>
          <w:rFonts w:asciiTheme="majorHAnsi" w:hAnsiTheme="majorHAnsi"/>
          <w:b/>
        </w:rPr>
        <w:t xml:space="preserve">Social Networking Restrictions </w:t>
      </w:r>
      <w:r w:rsidRPr="00D80D73">
        <w:rPr>
          <w:rFonts w:asciiTheme="majorHAnsi" w:hAnsiTheme="majorHAnsi"/>
        </w:rPr>
        <w:t>(G.S. 14-202.5, Class F felony)</w:t>
      </w:r>
    </w:p>
    <w:p w:rsidR="00A051D7" w:rsidRPr="00D80D73" w:rsidRDefault="00A051D7" w:rsidP="00A051D7">
      <w:pPr>
        <w:pStyle w:val="ListParagraph"/>
        <w:ind w:left="1440"/>
        <w:rPr>
          <w:rFonts w:asciiTheme="majorHAnsi" w:hAnsiTheme="majorHAnsi"/>
        </w:rPr>
      </w:pPr>
    </w:p>
    <w:p w:rsidR="00A051D7" w:rsidRPr="00D80D73" w:rsidRDefault="00A051D7" w:rsidP="00A051D7">
      <w:pPr>
        <w:pStyle w:val="ListParagraph"/>
        <w:numPr>
          <w:ilvl w:val="1"/>
          <w:numId w:val="24"/>
        </w:numPr>
        <w:rPr>
          <w:rFonts w:asciiTheme="majorHAnsi" w:hAnsiTheme="majorHAnsi"/>
        </w:rPr>
      </w:pPr>
      <w:r w:rsidRPr="00D80D73">
        <w:rPr>
          <w:rFonts w:asciiTheme="majorHAnsi" w:hAnsiTheme="majorHAnsi"/>
        </w:rPr>
        <w:t>No person required to register as a sex offender may access a commercial social networking Web site, knowing that the site permits minor children to become members or to create or maintain personal Web pages.</w:t>
      </w:r>
    </w:p>
    <w:p w:rsidR="00A051D7" w:rsidRPr="00D80D73" w:rsidRDefault="00A051D7" w:rsidP="00A051D7">
      <w:pPr>
        <w:pStyle w:val="ListParagraph"/>
        <w:numPr>
          <w:ilvl w:val="1"/>
          <w:numId w:val="24"/>
        </w:numPr>
        <w:rPr>
          <w:rFonts w:asciiTheme="majorHAnsi" w:hAnsiTheme="majorHAnsi"/>
        </w:rPr>
      </w:pPr>
      <w:r w:rsidRPr="00D80D73">
        <w:rPr>
          <w:rFonts w:asciiTheme="majorHAnsi" w:hAnsiTheme="majorHAnsi"/>
        </w:rPr>
        <w:t>A commerc</w:t>
      </w:r>
      <w:r w:rsidR="00E8567D" w:rsidRPr="00D80D73">
        <w:rPr>
          <w:rFonts w:asciiTheme="majorHAnsi" w:hAnsiTheme="majorHAnsi"/>
        </w:rPr>
        <w:t xml:space="preserve">ial social networking Web site is </w:t>
      </w:r>
      <w:r w:rsidRPr="00D80D73">
        <w:rPr>
          <w:rFonts w:asciiTheme="majorHAnsi" w:hAnsiTheme="majorHAnsi"/>
        </w:rPr>
        <w:t xml:space="preserve">defined as an Internet site that meets all of the following requirements: (1) Is operated by someone who derives revenue; (2) facilitates social introduction between two or more persons; (3) allows users to create pages or profiles that contain information like nicknames, photographs, and personal information; and (4) provides users or visitors with mechanisms to communicate with one another, such as message boards, chat rooms, email, or instant messages. The definition excludes sites that either </w:t>
      </w:r>
      <w:proofErr w:type="gramStart"/>
      <w:r w:rsidRPr="00D80D73">
        <w:rPr>
          <w:rFonts w:asciiTheme="majorHAnsi" w:hAnsiTheme="majorHAnsi"/>
        </w:rPr>
        <w:t>(1) provide</w:t>
      </w:r>
      <w:proofErr w:type="gramEnd"/>
      <w:r w:rsidRPr="00D80D73">
        <w:rPr>
          <w:rFonts w:asciiTheme="majorHAnsi" w:hAnsiTheme="majorHAnsi"/>
        </w:rPr>
        <w:t xml:space="preserve"> only one of the following discrete services: photo-sharing, email, instant messaging, or chat room/board; or (2) have as their primary purpose the facilitation of commercial transactions involving goods or services between its members or visitors.</w:t>
      </w:r>
    </w:p>
    <w:p w:rsidR="00A051D7" w:rsidRDefault="00A051D7" w:rsidP="00875CC4">
      <w:pPr>
        <w:pStyle w:val="ListParagraph"/>
        <w:ind w:left="1080"/>
        <w:rPr>
          <w:rFonts w:asciiTheme="majorHAnsi" w:hAnsiTheme="majorHAnsi"/>
        </w:rPr>
      </w:pPr>
    </w:p>
    <w:p w:rsidR="00D80D73" w:rsidRPr="00D80D73" w:rsidRDefault="00D80D73" w:rsidP="00875CC4">
      <w:pPr>
        <w:pStyle w:val="ListParagraph"/>
        <w:ind w:left="1080"/>
        <w:rPr>
          <w:rFonts w:asciiTheme="majorHAnsi" w:hAnsiTheme="majorHAnsi"/>
        </w:rPr>
      </w:pPr>
    </w:p>
    <w:p w:rsidR="0059153B" w:rsidRPr="00D80D73" w:rsidRDefault="009E7064" w:rsidP="00D80D73">
      <w:pPr>
        <w:pStyle w:val="ListParagraph"/>
        <w:numPr>
          <w:ilvl w:val="0"/>
          <w:numId w:val="20"/>
        </w:numPr>
        <w:rPr>
          <w:rFonts w:asciiTheme="majorHAnsi" w:hAnsiTheme="majorHAnsi"/>
          <w:b/>
        </w:rPr>
      </w:pPr>
      <w:r w:rsidRPr="00D80D73">
        <w:rPr>
          <w:rFonts w:asciiTheme="majorHAnsi" w:hAnsiTheme="majorHAnsi"/>
          <w:b/>
        </w:rPr>
        <w:lastRenderedPageBreak/>
        <w:t>Duty to Report Non-Compliance by a Registrant (G.S. 14-208.11A, Class H felony)</w:t>
      </w:r>
    </w:p>
    <w:p w:rsidR="00E36C5E" w:rsidRPr="00D80D73" w:rsidRDefault="00E36C5E" w:rsidP="00E36C5E">
      <w:pPr>
        <w:pStyle w:val="ListParagraph"/>
        <w:ind w:left="1080"/>
        <w:rPr>
          <w:rFonts w:asciiTheme="majorHAnsi" w:hAnsiTheme="majorHAnsi"/>
        </w:rPr>
      </w:pPr>
    </w:p>
    <w:p w:rsidR="00E36C5E" w:rsidRPr="00D80D73" w:rsidRDefault="00E36C5E" w:rsidP="00E36C5E">
      <w:pPr>
        <w:pStyle w:val="ListParagraph"/>
        <w:ind w:left="0"/>
        <w:rPr>
          <w:rFonts w:asciiTheme="majorHAnsi" w:hAnsiTheme="majorHAnsi"/>
        </w:rPr>
      </w:pPr>
      <w:r w:rsidRPr="00D80D73">
        <w:rPr>
          <w:rFonts w:asciiTheme="majorHAnsi" w:hAnsiTheme="majorHAnsi"/>
        </w:rPr>
        <w:t xml:space="preserve">It is unlawful for any person who has reason to believe that a person is in violation of the requirements of the registry </w:t>
      </w:r>
      <w:r w:rsidRPr="00D80D73">
        <w:rPr>
          <w:rFonts w:asciiTheme="majorHAnsi" w:hAnsiTheme="majorHAnsi"/>
          <w:i/>
        </w:rPr>
        <w:t>and</w:t>
      </w:r>
      <w:r w:rsidRPr="00D80D73">
        <w:rPr>
          <w:rFonts w:asciiTheme="majorHAnsi" w:hAnsiTheme="majorHAnsi"/>
        </w:rPr>
        <w:t xml:space="preserve"> who has the intent to assist the offender in eluding arrest to:</w:t>
      </w:r>
    </w:p>
    <w:p w:rsidR="00E36C5E" w:rsidRPr="00D80D73" w:rsidRDefault="00E36C5E" w:rsidP="00E36C5E">
      <w:pPr>
        <w:pStyle w:val="ListParagraph"/>
        <w:ind w:left="0"/>
        <w:rPr>
          <w:rFonts w:asciiTheme="majorHAnsi" w:hAnsiTheme="majorHAnsi"/>
        </w:rPr>
      </w:pPr>
    </w:p>
    <w:p w:rsidR="00E36C5E" w:rsidRPr="00D80D73" w:rsidRDefault="00E36C5E" w:rsidP="00E36C5E">
      <w:pPr>
        <w:pStyle w:val="ListParagraph"/>
        <w:numPr>
          <w:ilvl w:val="1"/>
          <w:numId w:val="24"/>
        </w:numPr>
        <w:rPr>
          <w:rFonts w:asciiTheme="majorHAnsi" w:hAnsiTheme="majorHAnsi"/>
        </w:rPr>
      </w:pPr>
      <w:r w:rsidRPr="00D80D73">
        <w:rPr>
          <w:rFonts w:asciiTheme="majorHAnsi" w:hAnsiTheme="majorHAnsi"/>
        </w:rPr>
        <w:t>Withhold information from, or fail to notify, a law enforcement agency about the</w:t>
      </w:r>
      <w:r w:rsidRPr="00D80D73">
        <w:rPr>
          <w:rFonts w:asciiTheme="majorHAnsi" w:hAnsiTheme="majorHAnsi"/>
        </w:rPr>
        <w:t xml:space="preserve"> </w:t>
      </w:r>
      <w:r w:rsidRPr="00D80D73">
        <w:rPr>
          <w:rFonts w:asciiTheme="majorHAnsi" w:hAnsiTheme="majorHAnsi"/>
        </w:rPr>
        <w:t>offender’s noncompliance with the requirements of Article 27A, and, if known, the</w:t>
      </w:r>
      <w:r w:rsidRPr="00D80D73">
        <w:rPr>
          <w:rFonts w:asciiTheme="majorHAnsi" w:hAnsiTheme="majorHAnsi"/>
        </w:rPr>
        <w:t xml:space="preserve"> </w:t>
      </w:r>
      <w:r w:rsidRPr="00D80D73">
        <w:rPr>
          <w:rFonts w:asciiTheme="majorHAnsi" w:hAnsiTheme="majorHAnsi"/>
        </w:rPr>
        <w:t>whereabouts of the offender.</w:t>
      </w:r>
    </w:p>
    <w:p w:rsidR="00E36C5E" w:rsidRPr="00D80D73" w:rsidRDefault="00E36C5E" w:rsidP="00E36C5E">
      <w:pPr>
        <w:pStyle w:val="ListParagraph"/>
        <w:numPr>
          <w:ilvl w:val="1"/>
          <w:numId w:val="24"/>
        </w:numPr>
        <w:rPr>
          <w:rFonts w:asciiTheme="majorHAnsi" w:hAnsiTheme="majorHAnsi"/>
        </w:rPr>
      </w:pPr>
      <w:r w:rsidRPr="00D80D73">
        <w:rPr>
          <w:rFonts w:asciiTheme="majorHAnsi" w:hAnsiTheme="majorHAnsi"/>
        </w:rPr>
        <w:t>Harbor, attempt to harbor, or assist another</w:t>
      </w:r>
      <w:r w:rsidRPr="00D80D73">
        <w:rPr>
          <w:rFonts w:asciiTheme="majorHAnsi" w:hAnsiTheme="majorHAnsi"/>
        </w:rPr>
        <w:t xml:space="preserve"> </w:t>
      </w:r>
      <w:r w:rsidRPr="00D80D73">
        <w:rPr>
          <w:rFonts w:asciiTheme="majorHAnsi" w:hAnsiTheme="majorHAnsi"/>
        </w:rPr>
        <w:t>person in harboring or attempting to harbor,</w:t>
      </w:r>
      <w:r w:rsidRPr="00D80D73">
        <w:rPr>
          <w:rFonts w:asciiTheme="majorHAnsi" w:hAnsiTheme="majorHAnsi"/>
        </w:rPr>
        <w:t xml:space="preserve"> </w:t>
      </w:r>
      <w:r w:rsidRPr="00D80D73">
        <w:rPr>
          <w:rFonts w:asciiTheme="majorHAnsi" w:hAnsiTheme="majorHAnsi"/>
        </w:rPr>
        <w:t>the offender.</w:t>
      </w:r>
    </w:p>
    <w:p w:rsidR="00E36C5E" w:rsidRPr="00D80D73" w:rsidRDefault="00E36C5E" w:rsidP="00E36C5E">
      <w:pPr>
        <w:pStyle w:val="ListParagraph"/>
        <w:numPr>
          <w:ilvl w:val="1"/>
          <w:numId w:val="24"/>
        </w:numPr>
        <w:rPr>
          <w:rFonts w:asciiTheme="majorHAnsi" w:hAnsiTheme="majorHAnsi"/>
        </w:rPr>
      </w:pPr>
      <w:r w:rsidRPr="00D80D73">
        <w:rPr>
          <w:rFonts w:asciiTheme="majorHAnsi" w:hAnsiTheme="majorHAnsi"/>
        </w:rPr>
        <w:t>Conceal, or attempt to conceal, or assist another person in concealing or attempting to</w:t>
      </w:r>
      <w:r w:rsidRPr="00D80D73">
        <w:rPr>
          <w:rFonts w:asciiTheme="majorHAnsi" w:hAnsiTheme="majorHAnsi"/>
        </w:rPr>
        <w:t xml:space="preserve"> </w:t>
      </w:r>
      <w:r w:rsidRPr="00D80D73">
        <w:rPr>
          <w:rFonts w:asciiTheme="majorHAnsi" w:hAnsiTheme="majorHAnsi"/>
        </w:rPr>
        <w:t>conceal, the offender.</w:t>
      </w:r>
    </w:p>
    <w:p w:rsidR="0059153B" w:rsidRPr="00D80D73" w:rsidRDefault="00E36C5E" w:rsidP="00E36C5E">
      <w:pPr>
        <w:pStyle w:val="ListParagraph"/>
        <w:numPr>
          <w:ilvl w:val="1"/>
          <w:numId w:val="24"/>
        </w:numPr>
        <w:rPr>
          <w:rFonts w:asciiTheme="majorHAnsi" w:hAnsiTheme="majorHAnsi"/>
        </w:rPr>
      </w:pPr>
      <w:r w:rsidRPr="00D80D73">
        <w:rPr>
          <w:rFonts w:asciiTheme="majorHAnsi" w:hAnsiTheme="majorHAnsi"/>
        </w:rPr>
        <w:t>Provide information to a law enforcement agency</w:t>
      </w:r>
      <w:r w:rsidRPr="00D80D73">
        <w:rPr>
          <w:rFonts w:asciiTheme="majorHAnsi" w:hAnsiTheme="majorHAnsi"/>
        </w:rPr>
        <w:t xml:space="preserve"> </w:t>
      </w:r>
      <w:r w:rsidRPr="00D80D73">
        <w:rPr>
          <w:rFonts w:asciiTheme="majorHAnsi" w:hAnsiTheme="majorHAnsi"/>
        </w:rPr>
        <w:t>regarding</w:t>
      </w:r>
      <w:r w:rsidRPr="00D80D73">
        <w:rPr>
          <w:rFonts w:asciiTheme="majorHAnsi" w:hAnsiTheme="majorHAnsi"/>
        </w:rPr>
        <w:t xml:space="preserve"> </w:t>
      </w:r>
      <w:r w:rsidRPr="00D80D73">
        <w:rPr>
          <w:rFonts w:asciiTheme="majorHAnsi" w:hAnsiTheme="majorHAnsi"/>
        </w:rPr>
        <w:t>the offender that the person</w:t>
      </w:r>
      <w:r w:rsidRPr="00D80D73">
        <w:rPr>
          <w:rFonts w:asciiTheme="majorHAnsi" w:hAnsiTheme="majorHAnsi"/>
        </w:rPr>
        <w:t xml:space="preserve"> </w:t>
      </w:r>
      <w:r w:rsidRPr="00D80D73">
        <w:rPr>
          <w:rFonts w:asciiTheme="majorHAnsi" w:hAnsiTheme="majorHAnsi"/>
        </w:rPr>
        <w:t>knows to be false information.</w:t>
      </w:r>
    </w:p>
    <w:sectPr w:rsidR="0059153B" w:rsidRPr="00D80D73" w:rsidSect="00D80D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59" w:rsidRDefault="002D7F59" w:rsidP="003F2F83">
      <w:pPr>
        <w:spacing w:after="0" w:line="240" w:lineRule="auto"/>
      </w:pPr>
      <w:r>
        <w:separator/>
      </w:r>
    </w:p>
  </w:endnote>
  <w:endnote w:type="continuationSeparator" w:id="0">
    <w:p w:rsidR="002D7F59" w:rsidRDefault="002D7F59" w:rsidP="003F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34722969"/>
      <w:docPartObj>
        <w:docPartGallery w:val="Page Numbers (Bottom of Page)"/>
        <w:docPartUnique/>
      </w:docPartObj>
    </w:sdtPr>
    <w:sdtEndPr/>
    <w:sdtContent>
      <w:p w:rsidR="00126FD8" w:rsidRPr="00857F21" w:rsidRDefault="00126FD8">
        <w:pPr>
          <w:pStyle w:val="Footer"/>
          <w:jc w:val="center"/>
          <w:rPr>
            <w:sz w:val="18"/>
          </w:rPr>
        </w:pPr>
        <w:r w:rsidRPr="00857F21">
          <w:rPr>
            <w:sz w:val="18"/>
          </w:rPr>
          <w:fldChar w:fldCharType="begin"/>
        </w:r>
        <w:r w:rsidRPr="00857F21">
          <w:rPr>
            <w:sz w:val="18"/>
          </w:rPr>
          <w:instrText xml:space="preserve"> PAGE   \* MERGEFORMAT </w:instrText>
        </w:r>
        <w:r w:rsidRPr="00857F21">
          <w:rPr>
            <w:sz w:val="18"/>
          </w:rPr>
          <w:fldChar w:fldCharType="separate"/>
        </w:r>
        <w:r w:rsidR="00D80D73">
          <w:rPr>
            <w:noProof/>
            <w:sz w:val="18"/>
          </w:rPr>
          <w:t>5</w:t>
        </w:r>
        <w:r w:rsidRPr="00857F21">
          <w:rPr>
            <w:sz w:val="18"/>
          </w:rPr>
          <w:fldChar w:fldCharType="end"/>
        </w:r>
      </w:p>
    </w:sdtContent>
  </w:sdt>
  <w:p w:rsidR="00126FD8" w:rsidRDefault="0012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59" w:rsidRDefault="002D7F59" w:rsidP="003F2F83">
      <w:pPr>
        <w:spacing w:after="0" w:line="240" w:lineRule="auto"/>
      </w:pPr>
      <w:r>
        <w:separator/>
      </w:r>
    </w:p>
  </w:footnote>
  <w:footnote w:type="continuationSeparator" w:id="0">
    <w:p w:rsidR="002D7F59" w:rsidRDefault="002D7F59" w:rsidP="003F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5E5"/>
    <w:multiLevelType w:val="hybridMultilevel"/>
    <w:tmpl w:val="4FE8CCB6"/>
    <w:lvl w:ilvl="0" w:tplc="03B0F63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67101"/>
    <w:multiLevelType w:val="hybridMultilevel"/>
    <w:tmpl w:val="8B802F60"/>
    <w:lvl w:ilvl="0" w:tplc="ABC2AB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8679E"/>
    <w:multiLevelType w:val="hybridMultilevel"/>
    <w:tmpl w:val="E64A4388"/>
    <w:lvl w:ilvl="0" w:tplc="08309952">
      <w:start w:val="1"/>
      <w:numFmt w:val="upperRoman"/>
      <w:lvlText w:val="%1."/>
      <w:lvlJc w:val="left"/>
      <w:pPr>
        <w:ind w:left="720" w:hanging="720"/>
      </w:pPr>
      <w:rPr>
        <w:rFonts w:hint="default"/>
        <w:b/>
      </w:rPr>
    </w:lvl>
    <w:lvl w:ilvl="1" w:tplc="3A565C4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F58A664">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028C4"/>
    <w:multiLevelType w:val="hybridMultilevel"/>
    <w:tmpl w:val="F69E9F14"/>
    <w:lvl w:ilvl="0" w:tplc="DE9A38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0734F"/>
    <w:multiLevelType w:val="hybridMultilevel"/>
    <w:tmpl w:val="4AAC17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40526"/>
    <w:multiLevelType w:val="hybridMultilevel"/>
    <w:tmpl w:val="879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94959"/>
    <w:multiLevelType w:val="hybridMultilevel"/>
    <w:tmpl w:val="35D49162"/>
    <w:lvl w:ilvl="0" w:tplc="04090015">
      <w:start w:val="1"/>
      <w:numFmt w:val="upperLetter"/>
      <w:lvlText w:val="%1."/>
      <w:lvlJc w:val="left"/>
      <w:pPr>
        <w:ind w:left="360" w:hanging="360"/>
      </w:pPr>
      <w:rPr>
        <w:rFonts w:hint="default"/>
      </w:rPr>
    </w:lvl>
    <w:lvl w:ilvl="1" w:tplc="03B0F638">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2607D"/>
    <w:multiLevelType w:val="hybridMultilevel"/>
    <w:tmpl w:val="32B242A0"/>
    <w:lvl w:ilvl="0" w:tplc="DADE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C3F44"/>
    <w:multiLevelType w:val="hybridMultilevel"/>
    <w:tmpl w:val="205018B2"/>
    <w:lvl w:ilvl="0" w:tplc="948C6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D1097"/>
    <w:multiLevelType w:val="hybridMultilevel"/>
    <w:tmpl w:val="32B242A0"/>
    <w:lvl w:ilvl="0" w:tplc="DADE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9D6B43"/>
    <w:multiLevelType w:val="hybridMultilevel"/>
    <w:tmpl w:val="8B802F60"/>
    <w:lvl w:ilvl="0" w:tplc="ABC2AB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B91B47"/>
    <w:multiLevelType w:val="hybridMultilevel"/>
    <w:tmpl w:val="5762A2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3041C0"/>
    <w:multiLevelType w:val="hybridMultilevel"/>
    <w:tmpl w:val="32B242A0"/>
    <w:lvl w:ilvl="0" w:tplc="DADE1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73302C"/>
    <w:multiLevelType w:val="hybridMultilevel"/>
    <w:tmpl w:val="513E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E3C52"/>
    <w:multiLevelType w:val="hybridMultilevel"/>
    <w:tmpl w:val="26864486"/>
    <w:lvl w:ilvl="0" w:tplc="7B82BF0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683CAE"/>
    <w:multiLevelType w:val="hybridMultilevel"/>
    <w:tmpl w:val="523C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2D46C9"/>
    <w:multiLevelType w:val="hybridMultilevel"/>
    <w:tmpl w:val="E182F18C"/>
    <w:lvl w:ilvl="0" w:tplc="51C8B7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DE185D"/>
    <w:multiLevelType w:val="hybridMultilevel"/>
    <w:tmpl w:val="32B242A0"/>
    <w:lvl w:ilvl="0" w:tplc="DADE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B8506E"/>
    <w:multiLevelType w:val="hybridMultilevel"/>
    <w:tmpl w:val="F5E850F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3574C"/>
    <w:multiLevelType w:val="hybridMultilevel"/>
    <w:tmpl w:val="8B802F60"/>
    <w:lvl w:ilvl="0" w:tplc="ABC2A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EF21DC"/>
    <w:multiLevelType w:val="hybridMultilevel"/>
    <w:tmpl w:val="4FC22D4A"/>
    <w:lvl w:ilvl="0" w:tplc="EEE457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303D7"/>
    <w:multiLevelType w:val="hybridMultilevel"/>
    <w:tmpl w:val="69100742"/>
    <w:lvl w:ilvl="0" w:tplc="3BCEC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ED1FB5"/>
    <w:multiLevelType w:val="hybridMultilevel"/>
    <w:tmpl w:val="1CA676A2"/>
    <w:lvl w:ilvl="0" w:tplc="04090001">
      <w:start w:val="1"/>
      <w:numFmt w:val="bullet"/>
      <w:lvlText w:val=""/>
      <w:lvlJc w:val="left"/>
      <w:pPr>
        <w:ind w:left="720" w:hanging="360"/>
      </w:pPr>
      <w:rPr>
        <w:rFonts w:ascii="Symbol" w:hAnsi="Symbol" w:hint="default"/>
      </w:rPr>
    </w:lvl>
    <w:lvl w:ilvl="1" w:tplc="03B0F6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53C35"/>
    <w:multiLevelType w:val="hybridMultilevel"/>
    <w:tmpl w:val="8B802F60"/>
    <w:lvl w:ilvl="0" w:tplc="ABC2AB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500108"/>
    <w:multiLevelType w:val="hybridMultilevel"/>
    <w:tmpl w:val="A754B6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3B0F638">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33801"/>
    <w:multiLevelType w:val="hybridMultilevel"/>
    <w:tmpl w:val="8B802F60"/>
    <w:lvl w:ilvl="0" w:tplc="ABC2AB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967EA3"/>
    <w:multiLevelType w:val="hybridMultilevel"/>
    <w:tmpl w:val="6BF89756"/>
    <w:lvl w:ilvl="0" w:tplc="CD76D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DB5903"/>
    <w:multiLevelType w:val="hybridMultilevel"/>
    <w:tmpl w:val="C17A1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3"/>
  </w:num>
  <w:num w:numId="5">
    <w:abstractNumId w:val="11"/>
  </w:num>
  <w:num w:numId="6">
    <w:abstractNumId w:val="26"/>
  </w:num>
  <w:num w:numId="7">
    <w:abstractNumId w:val="9"/>
  </w:num>
  <w:num w:numId="8">
    <w:abstractNumId w:val="12"/>
  </w:num>
  <w:num w:numId="9">
    <w:abstractNumId w:val="7"/>
  </w:num>
  <w:num w:numId="10">
    <w:abstractNumId w:val="21"/>
  </w:num>
  <w:num w:numId="11">
    <w:abstractNumId w:val="17"/>
  </w:num>
  <w:num w:numId="12">
    <w:abstractNumId w:val="20"/>
  </w:num>
  <w:num w:numId="13">
    <w:abstractNumId w:val="19"/>
  </w:num>
  <w:num w:numId="14">
    <w:abstractNumId w:val="10"/>
  </w:num>
  <w:num w:numId="15">
    <w:abstractNumId w:val="14"/>
  </w:num>
  <w:num w:numId="16">
    <w:abstractNumId w:val="25"/>
  </w:num>
  <w:num w:numId="17">
    <w:abstractNumId w:val="23"/>
  </w:num>
  <w:num w:numId="18">
    <w:abstractNumId w:val="1"/>
  </w:num>
  <w:num w:numId="19">
    <w:abstractNumId w:val="13"/>
  </w:num>
  <w:num w:numId="20">
    <w:abstractNumId w:val="4"/>
  </w:num>
  <w:num w:numId="21">
    <w:abstractNumId w:val="5"/>
  </w:num>
  <w:num w:numId="22">
    <w:abstractNumId w:val="22"/>
  </w:num>
  <w:num w:numId="23">
    <w:abstractNumId w:val="27"/>
  </w:num>
  <w:num w:numId="24">
    <w:abstractNumId w:val="24"/>
  </w:num>
  <w:num w:numId="25">
    <w:abstractNumId w:val="16"/>
  </w:num>
  <w:num w:numId="26">
    <w:abstractNumId w:val="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11"/>
    <w:rsid w:val="0005558C"/>
    <w:rsid w:val="000B21C3"/>
    <w:rsid w:val="000D352C"/>
    <w:rsid w:val="000E5D0C"/>
    <w:rsid w:val="00103918"/>
    <w:rsid w:val="00126FD8"/>
    <w:rsid w:val="001A1E52"/>
    <w:rsid w:val="001B0E2C"/>
    <w:rsid w:val="001B5C9E"/>
    <w:rsid w:val="00207B41"/>
    <w:rsid w:val="00257097"/>
    <w:rsid w:val="0026463B"/>
    <w:rsid w:val="002656CE"/>
    <w:rsid w:val="00283442"/>
    <w:rsid w:val="00292A1D"/>
    <w:rsid w:val="00296066"/>
    <w:rsid w:val="002D472D"/>
    <w:rsid w:val="002D6D9C"/>
    <w:rsid w:val="002D7F59"/>
    <w:rsid w:val="00300837"/>
    <w:rsid w:val="00315B5D"/>
    <w:rsid w:val="00341648"/>
    <w:rsid w:val="00351736"/>
    <w:rsid w:val="00356998"/>
    <w:rsid w:val="00375E6D"/>
    <w:rsid w:val="00382131"/>
    <w:rsid w:val="003A5CB0"/>
    <w:rsid w:val="003B76D5"/>
    <w:rsid w:val="003C7E69"/>
    <w:rsid w:val="003F2F83"/>
    <w:rsid w:val="00445780"/>
    <w:rsid w:val="00476678"/>
    <w:rsid w:val="004D55FE"/>
    <w:rsid w:val="005068DD"/>
    <w:rsid w:val="0053698C"/>
    <w:rsid w:val="00537B73"/>
    <w:rsid w:val="00540462"/>
    <w:rsid w:val="00550BB0"/>
    <w:rsid w:val="00570995"/>
    <w:rsid w:val="0059153B"/>
    <w:rsid w:val="005A16F1"/>
    <w:rsid w:val="005A30DE"/>
    <w:rsid w:val="005A46AB"/>
    <w:rsid w:val="005A7ECF"/>
    <w:rsid w:val="00623DA6"/>
    <w:rsid w:val="006925A1"/>
    <w:rsid w:val="006D24D5"/>
    <w:rsid w:val="006E08D4"/>
    <w:rsid w:val="006F6460"/>
    <w:rsid w:val="00700406"/>
    <w:rsid w:val="00786087"/>
    <w:rsid w:val="007B04FB"/>
    <w:rsid w:val="007B5A4B"/>
    <w:rsid w:val="007C5FB1"/>
    <w:rsid w:val="007F07F9"/>
    <w:rsid w:val="007F7AB5"/>
    <w:rsid w:val="00803B80"/>
    <w:rsid w:val="008216F3"/>
    <w:rsid w:val="00857F21"/>
    <w:rsid w:val="00875CC4"/>
    <w:rsid w:val="008D08C6"/>
    <w:rsid w:val="008F5F92"/>
    <w:rsid w:val="009072E6"/>
    <w:rsid w:val="00952521"/>
    <w:rsid w:val="00974FAF"/>
    <w:rsid w:val="009E7064"/>
    <w:rsid w:val="00A051D7"/>
    <w:rsid w:val="00A175C1"/>
    <w:rsid w:val="00A25E11"/>
    <w:rsid w:val="00A31B97"/>
    <w:rsid w:val="00A365C7"/>
    <w:rsid w:val="00A92D77"/>
    <w:rsid w:val="00AE74F4"/>
    <w:rsid w:val="00B11BBC"/>
    <w:rsid w:val="00B17692"/>
    <w:rsid w:val="00B42B77"/>
    <w:rsid w:val="00B436F3"/>
    <w:rsid w:val="00B645BD"/>
    <w:rsid w:val="00B833E9"/>
    <w:rsid w:val="00BE1DB5"/>
    <w:rsid w:val="00C212EA"/>
    <w:rsid w:val="00C22898"/>
    <w:rsid w:val="00C3570F"/>
    <w:rsid w:val="00CE41CB"/>
    <w:rsid w:val="00D252EA"/>
    <w:rsid w:val="00D27F80"/>
    <w:rsid w:val="00D30CE2"/>
    <w:rsid w:val="00D35440"/>
    <w:rsid w:val="00D55075"/>
    <w:rsid w:val="00D80D73"/>
    <w:rsid w:val="00DA1F0B"/>
    <w:rsid w:val="00E10219"/>
    <w:rsid w:val="00E21954"/>
    <w:rsid w:val="00E25A72"/>
    <w:rsid w:val="00E36C5E"/>
    <w:rsid w:val="00E54279"/>
    <w:rsid w:val="00E80A42"/>
    <w:rsid w:val="00E8567D"/>
    <w:rsid w:val="00E86AD6"/>
    <w:rsid w:val="00F50A1B"/>
    <w:rsid w:val="00F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11"/>
    <w:pPr>
      <w:ind w:left="720"/>
      <w:contextualSpacing/>
    </w:pPr>
  </w:style>
  <w:style w:type="paragraph" w:styleId="NoSpacing">
    <w:name w:val="No Spacing"/>
    <w:uiPriority w:val="1"/>
    <w:qFormat/>
    <w:rsid w:val="00300837"/>
    <w:pPr>
      <w:spacing w:after="0" w:line="240" w:lineRule="auto"/>
    </w:pPr>
  </w:style>
  <w:style w:type="paragraph" w:styleId="FootnoteText">
    <w:name w:val="footnote text"/>
    <w:basedOn w:val="Normal"/>
    <w:link w:val="FootnoteTextChar"/>
    <w:uiPriority w:val="99"/>
    <w:unhideWhenUsed/>
    <w:rsid w:val="003F2F83"/>
    <w:pPr>
      <w:spacing w:after="0" w:line="240" w:lineRule="auto"/>
    </w:pPr>
    <w:rPr>
      <w:sz w:val="20"/>
      <w:szCs w:val="20"/>
    </w:rPr>
  </w:style>
  <w:style w:type="character" w:customStyle="1" w:styleId="FootnoteTextChar">
    <w:name w:val="Footnote Text Char"/>
    <w:basedOn w:val="DefaultParagraphFont"/>
    <w:link w:val="FootnoteText"/>
    <w:uiPriority w:val="99"/>
    <w:rsid w:val="003F2F83"/>
    <w:rPr>
      <w:sz w:val="20"/>
      <w:szCs w:val="20"/>
    </w:rPr>
  </w:style>
  <w:style w:type="character" w:styleId="FootnoteReference">
    <w:name w:val="footnote reference"/>
    <w:basedOn w:val="DefaultParagraphFont"/>
    <w:uiPriority w:val="99"/>
    <w:semiHidden/>
    <w:unhideWhenUsed/>
    <w:rsid w:val="003F2F83"/>
    <w:rPr>
      <w:vertAlign w:val="superscript"/>
    </w:rPr>
  </w:style>
  <w:style w:type="character" w:styleId="Hyperlink">
    <w:name w:val="Hyperlink"/>
    <w:basedOn w:val="DefaultParagraphFont"/>
    <w:uiPriority w:val="99"/>
    <w:unhideWhenUsed/>
    <w:rsid w:val="00B645BD"/>
    <w:rPr>
      <w:color w:val="0000FF"/>
      <w:u w:val="single"/>
    </w:rPr>
  </w:style>
  <w:style w:type="character" w:customStyle="1" w:styleId="apple-style-span">
    <w:name w:val="apple-style-span"/>
    <w:basedOn w:val="DefaultParagraphFont"/>
    <w:rsid w:val="00A175C1"/>
  </w:style>
  <w:style w:type="paragraph" w:customStyle="1" w:styleId="ablock1">
    <w:name w:val="ablock1"/>
    <w:basedOn w:val="Normal"/>
    <w:rsid w:val="006E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6E08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7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F21"/>
  </w:style>
  <w:style w:type="paragraph" w:styleId="Footer">
    <w:name w:val="footer"/>
    <w:basedOn w:val="Normal"/>
    <w:link w:val="FooterChar"/>
    <w:uiPriority w:val="99"/>
    <w:unhideWhenUsed/>
    <w:rsid w:val="0085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21"/>
  </w:style>
  <w:style w:type="character" w:styleId="FollowedHyperlink">
    <w:name w:val="FollowedHyperlink"/>
    <w:basedOn w:val="DefaultParagraphFont"/>
    <w:uiPriority w:val="99"/>
    <w:semiHidden/>
    <w:unhideWhenUsed/>
    <w:rsid w:val="00283442"/>
    <w:rPr>
      <w:color w:val="800080" w:themeColor="followedHyperlink"/>
      <w:u w:val="single"/>
    </w:rPr>
  </w:style>
  <w:style w:type="character" w:styleId="CommentReference">
    <w:name w:val="annotation reference"/>
    <w:basedOn w:val="DefaultParagraphFont"/>
    <w:uiPriority w:val="99"/>
    <w:semiHidden/>
    <w:unhideWhenUsed/>
    <w:rsid w:val="00E54279"/>
    <w:rPr>
      <w:sz w:val="16"/>
      <w:szCs w:val="16"/>
    </w:rPr>
  </w:style>
  <w:style w:type="paragraph" w:styleId="CommentText">
    <w:name w:val="annotation text"/>
    <w:basedOn w:val="Normal"/>
    <w:link w:val="CommentTextChar"/>
    <w:uiPriority w:val="99"/>
    <w:semiHidden/>
    <w:unhideWhenUsed/>
    <w:rsid w:val="00E54279"/>
    <w:pPr>
      <w:spacing w:line="240" w:lineRule="auto"/>
    </w:pPr>
    <w:rPr>
      <w:sz w:val="20"/>
      <w:szCs w:val="20"/>
    </w:rPr>
  </w:style>
  <w:style w:type="character" w:customStyle="1" w:styleId="CommentTextChar">
    <w:name w:val="Comment Text Char"/>
    <w:basedOn w:val="DefaultParagraphFont"/>
    <w:link w:val="CommentText"/>
    <w:uiPriority w:val="99"/>
    <w:semiHidden/>
    <w:rsid w:val="00E54279"/>
    <w:rPr>
      <w:sz w:val="20"/>
      <w:szCs w:val="20"/>
    </w:rPr>
  </w:style>
  <w:style w:type="paragraph" w:styleId="CommentSubject">
    <w:name w:val="annotation subject"/>
    <w:basedOn w:val="CommentText"/>
    <w:next w:val="CommentText"/>
    <w:link w:val="CommentSubjectChar"/>
    <w:uiPriority w:val="99"/>
    <w:semiHidden/>
    <w:unhideWhenUsed/>
    <w:rsid w:val="00E54279"/>
    <w:rPr>
      <w:b/>
      <w:bCs/>
    </w:rPr>
  </w:style>
  <w:style w:type="character" w:customStyle="1" w:styleId="CommentSubjectChar">
    <w:name w:val="Comment Subject Char"/>
    <w:basedOn w:val="CommentTextChar"/>
    <w:link w:val="CommentSubject"/>
    <w:uiPriority w:val="99"/>
    <w:semiHidden/>
    <w:rsid w:val="00E54279"/>
    <w:rPr>
      <w:b/>
      <w:bCs/>
      <w:sz w:val="20"/>
      <w:szCs w:val="20"/>
    </w:rPr>
  </w:style>
  <w:style w:type="paragraph" w:styleId="BalloonText">
    <w:name w:val="Balloon Text"/>
    <w:basedOn w:val="Normal"/>
    <w:link w:val="BalloonTextChar"/>
    <w:uiPriority w:val="99"/>
    <w:semiHidden/>
    <w:unhideWhenUsed/>
    <w:rsid w:val="00E5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79"/>
    <w:rPr>
      <w:rFonts w:ascii="Tahoma" w:hAnsi="Tahoma" w:cs="Tahoma"/>
      <w:sz w:val="16"/>
      <w:szCs w:val="16"/>
    </w:rPr>
  </w:style>
  <w:style w:type="paragraph" w:styleId="PlainText">
    <w:name w:val="Plain Text"/>
    <w:basedOn w:val="Normal"/>
    <w:link w:val="PlainTextChar"/>
    <w:uiPriority w:val="99"/>
    <w:semiHidden/>
    <w:unhideWhenUsed/>
    <w:rsid w:val="0059153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9153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11"/>
    <w:pPr>
      <w:ind w:left="720"/>
      <w:contextualSpacing/>
    </w:pPr>
  </w:style>
  <w:style w:type="paragraph" w:styleId="NoSpacing">
    <w:name w:val="No Spacing"/>
    <w:uiPriority w:val="1"/>
    <w:qFormat/>
    <w:rsid w:val="00300837"/>
    <w:pPr>
      <w:spacing w:after="0" w:line="240" w:lineRule="auto"/>
    </w:pPr>
  </w:style>
  <w:style w:type="paragraph" w:styleId="FootnoteText">
    <w:name w:val="footnote text"/>
    <w:basedOn w:val="Normal"/>
    <w:link w:val="FootnoteTextChar"/>
    <w:uiPriority w:val="99"/>
    <w:unhideWhenUsed/>
    <w:rsid w:val="003F2F83"/>
    <w:pPr>
      <w:spacing w:after="0" w:line="240" w:lineRule="auto"/>
    </w:pPr>
    <w:rPr>
      <w:sz w:val="20"/>
      <w:szCs w:val="20"/>
    </w:rPr>
  </w:style>
  <w:style w:type="character" w:customStyle="1" w:styleId="FootnoteTextChar">
    <w:name w:val="Footnote Text Char"/>
    <w:basedOn w:val="DefaultParagraphFont"/>
    <w:link w:val="FootnoteText"/>
    <w:uiPriority w:val="99"/>
    <w:rsid w:val="003F2F83"/>
    <w:rPr>
      <w:sz w:val="20"/>
      <w:szCs w:val="20"/>
    </w:rPr>
  </w:style>
  <w:style w:type="character" w:styleId="FootnoteReference">
    <w:name w:val="footnote reference"/>
    <w:basedOn w:val="DefaultParagraphFont"/>
    <w:uiPriority w:val="99"/>
    <w:semiHidden/>
    <w:unhideWhenUsed/>
    <w:rsid w:val="003F2F83"/>
    <w:rPr>
      <w:vertAlign w:val="superscript"/>
    </w:rPr>
  </w:style>
  <w:style w:type="character" w:styleId="Hyperlink">
    <w:name w:val="Hyperlink"/>
    <w:basedOn w:val="DefaultParagraphFont"/>
    <w:uiPriority w:val="99"/>
    <w:unhideWhenUsed/>
    <w:rsid w:val="00B645BD"/>
    <w:rPr>
      <w:color w:val="0000FF"/>
      <w:u w:val="single"/>
    </w:rPr>
  </w:style>
  <w:style w:type="character" w:customStyle="1" w:styleId="apple-style-span">
    <w:name w:val="apple-style-span"/>
    <w:basedOn w:val="DefaultParagraphFont"/>
    <w:rsid w:val="00A175C1"/>
  </w:style>
  <w:style w:type="paragraph" w:customStyle="1" w:styleId="ablock1">
    <w:name w:val="ablock1"/>
    <w:basedOn w:val="Normal"/>
    <w:rsid w:val="006E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6E08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7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F21"/>
  </w:style>
  <w:style w:type="paragraph" w:styleId="Footer">
    <w:name w:val="footer"/>
    <w:basedOn w:val="Normal"/>
    <w:link w:val="FooterChar"/>
    <w:uiPriority w:val="99"/>
    <w:unhideWhenUsed/>
    <w:rsid w:val="0085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21"/>
  </w:style>
  <w:style w:type="character" w:styleId="FollowedHyperlink">
    <w:name w:val="FollowedHyperlink"/>
    <w:basedOn w:val="DefaultParagraphFont"/>
    <w:uiPriority w:val="99"/>
    <w:semiHidden/>
    <w:unhideWhenUsed/>
    <w:rsid w:val="00283442"/>
    <w:rPr>
      <w:color w:val="800080" w:themeColor="followedHyperlink"/>
      <w:u w:val="single"/>
    </w:rPr>
  </w:style>
  <w:style w:type="character" w:styleId="CommentReference">
    <w:name w:val="annotation reference"/>
    <w:basedOn w:val="DefaultParagraphFont"/>
    <w:uiPriority w:val="99"/>
    <w:semiHidden/>
    <w:unhideWhenUsed/>
    <w:rsid w:val="00E54279"/>
    <w:rPr>
      <w:sz w:val="16"/>
      <w:szCs w:val="16"/>
    </w:rPr>
  </w:style>
  <w:style w:type="paragraph" w:styleId="CommentText">
    <w:name w:val="annotation text"/>
    <w:basedOn w:val="Normal"/>
    <w:link w:val="CommentTextChar"/>
    <w:uiPriority w:val="99"/>
    <w:semiHidden/>
    <w:unhideWhenUsed/>
    <w:rsid w:val="00E54279"/>
    <w:pPr>
      <w:spacing w:line="240" w:lineRule="auto"/>
    </w:pPr>
    <w:rPr>
      <w:sz w:val="20"/>
      <w:szCs w:val="20"/>
    </w:rPr>
  </w:style>
  <w:style w:type="character" w:customStyle="1" w:styleId="CommentTextChar">
    <w:name w:val="Comment Text Char"/>
    <w:basedOn w:val="DefaultParagraphFont"/>
    <w:link w:val="CommentText"/>
    <w:uiPriority w:val="99"/>
    <w:semiHidden/>
    <w:rsid w:val="00E54279"/>
    <w:rPr>
      <w:sz w:val="20"/>
      <w:szCs w:val="20"/>
    </w:rPr>
  </w:style>
  <w:style w:type="paragraph" w:styleId="CommentSubject">
    <w:name w:val="annotation subject"/>
    <w:basedOn w:val="CommentText"/>
    <w:next w:val="CommentText"/>
    <w:link w:val="CommentSubjectChar"/>
    <w:uiPriority w:val="99"/>
    <w:semiHidden/>
    <w:unhideWhenUsed/>
    <w:rsid w:val="00E54279"/>
    <w:rPr>
      <w:b/>
      <w:bCs/>
    </w:rPr>
  </w:style>
  <w:style w:type="character" w:customStyle="1" w:styleId="CommentSubjectChar">
    <w:name w:val="Comment Subject Char"/>
    <w:basedOn w:val="CommentTextChar"/>
    <w:link w:val="CommentSubject"/>
    <w:uiPriority w:val="99"/>
    <w:semiHidden/>
    <w:rsid w:val="00E54279"/>
    <w:rPr>
      <w:b/>
      <w:bCs/>
      <w:sz w:val="20"/>
      <w:szCs w:val="20"/>
    </w:rPr>
  </w:style>
  <w:style w:type="paragraph" w:styleId="BalloonText">
    <w:name w:val="Balloon Text"/>
    <w:basedOn w:val="Normal"/>
    <w:link w:val="BalloonTextChar"/>
    <w:uiPriority w:val="99"/>
    <w:semiHidden/>
    <w:unhideWhenUsed/>
    <w:rsid w:val="00E5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79"/>
    <w:rPr>
      <w:rFonts w:ascii="Tahoma" w:hAnsi="Tahoma" w:cs="Tahoma"/>
      <w:sz w:val="16"/>
      <w:szCs w:val="16"/>
    </w:rPr>
  </w:style>
  <w:style w:type="paragraph" w:styleId="PlainText">
    <w:name w:val="Plain Text"/>
    <w:basedOn w:val="Normal"/>
    <w:link w:val="PlainTextChar"/>
    <w:uiPriority w:val="99"/>
    <w:semiHidden/>
    <w:unhideWhenUsed/>
    <w:rsid w:val="0059153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9153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9515">
      <w:bodyDiv w:val="1"/>
      <w:marLeft w:val="0"/>
      <w:marRight w:val="0"/>
      <w:marTop w:val="0"/>
      <w:marBottom w:val="0"/>
      <w:divBdr>
        <w:top w:val="none" w:sz="0" w:space="0" w:color="auto"/>
        <w:left w:val="none" w:sz="0" w:space="0" w:color="auto"/>
        <w:bottom w:val="none" w:sz="0" w:space="0" w:color="auto"/>
        <w:right w:val="none" w:sz="0" w:space="0" w:color="auto"/>
      </w:divBdr>
    </w:div>
    <w:div w:id="20558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opw.gov" TargetMode="External"/><Relationship Id="rId4" Type="http://schemas.microsoft.com/office/2007/relationships/stylesWithEffects" Target="stylesWithEffects.xml"/><Relationship Id="rId9" Type="http://schemas.openxmlformats.org/officeDocument/2006/relationships/hyperlink" Target="http://sexoffender.ncdoj.gov/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D0FD-E2BE-479A-A42A-A511C5B9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Markham</dc:creator>
  <cp:lastModifiedBy>Jamie Markham</cp:lastModifiedBy>
  <cp:revision>7</cp:revision>
  <cp:lastPrinted>2013-04-12T12:40:00Z</cp:lastPrinted>
  <dcterms:created xsi:type="dcterms:W3CDTF">2013-03-18T20:54:00Z</dcterms:created>
  <dcterms:modified xsi:type="dcterms:W3CDTF">2013-04-12T12:51:00Z</dcterms:modified>
</cp:coreProperties>
</file>