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7194" w14:textId="77777777" w:rsidR="008E5DB5" w:rsidRDefault="008E5DB5" w:rsidP="008E5DB5">
      <w:pPr>
        <w:pStyle w:val="aSection"/>
        <w:rPr>
          <w:rFonts w:asciiTheme="minorHAnsi" w:hAnsiTheme="minorHAnsi" w:cstheme="minorHAnsi"/>
          <w:sz w:val="20"/>
          <w:szCs w:val="20"/>
        </w:rPr>
      </w:pPr>
    </w:p>
    <w:p w14:paraId="3DFA3653" w14:textId="71E847ED" w:rsidR="008E5DB5" w:rsidRDefault="008E5DB5" w:rsidP="008E5DB5">
      <w:pPr>
        <w:pStyle w:val="aSection"/>
        <w:jc w:val="center"/>
        <w:rPr>
          <w:rFonts w:asciiTheme="minorHAnsi" w:hAnsiTheme="minorHAnsi" w:cstheme="minorHAnsi"/>
          <w:sz w:val="20"/>
          <w:szCs w:val="20"/>
        </w:rPr>
      </w:pPr>
      <w:r>
        <w:rPr>
          <w:rFonts w:asciiTheme="minorHAnsi" w:hAnsiTheme="minorHAnsi" w:cstheme="minorHAnsi"/>
          <w:sz w:val="20"/>
          <w:szCs w:val="20"/>
        </w:rPr>
        <w:t xml:space="preserve">Statutes </w:t>
      </w:r>
      <w:r w:rsidR="00D73A92">
        <w:rPr>
          <w:rFonts w:asciiTheme="minorHAnsi" w:hAnsiTheme="minorHAnsi" w:cstheme="minorHAnsi"/>
          <w:sz w:val="20"/>
          <w:szCs w:val="20"/>
        </w:rPr>
        <w:t>Related to Guardian ad Litem for</w:t>
      </w:r>
      <w:bookmarkStart w:id="0" w:name="_GoBack"/>
      <w:bookmarkEnd w:id="0"/>
      <w:r>
        <w:rPr>
          <w:rFonts w:asciiTheme="minorHAnsi" w:hAnsiTheme="minorHAnsi" w:cstheme="minorHAnsi"/>
          <w:sz w:val="20"/>
          <w:szCs w:val="20"/>
        </w:rPr>
        <w:t xml:space="preserve"> Juvenile</w:t>
      </w:r>
    </w:p>
    <w:p w14:paraId="4302D5DC" w14:textId="77777777" w:rsidR="008E5DB5" w:rsidRDefault="008E5DB5" w:rsidP="008E5DB5">
      <w:pPr>
        <w:pStyle w:val="aSection"/>
        <w:rPr>
          <w:rFonts w:asciiTheme="minorHAnsi" w:hAnsiTheme="minorHAnsi" w:cstheme="minorHAnsi"/>
          <w:sz w:val="20"/>
          <w:szCs w:val="20"/>
        </w:rPr>
      </w:pPr>
    </w:p>
    <w:p w14:paraId="5ED32C3E" w14:textId="77777777" w:rsidR="008E5DB5" w:rsidRDefault="008E5DB5" w:rsidP="008E5DB5">
      <w:pPr>
        <w:pStyle w:val="aSection"/>
        <w:rPr>
          <w:rFonts w:asciiTheme="minorHAnsi" w:hAnsiTheme="minorHAnsi" w:cstheme="minorHAnsi"/>
          <w:sz w:val="20"/>
          <w:szCs w:val="20"/>
        </w:rPr>
      </w:pPr>
    </w:p>
    <w:p w14:paraId="66551FC3" w14:textId="77777777" w:rsidR="008E5DB5" w:rsidRPr="008E5DB5" w:rsidRDefault="008E5DB5" w:rsidP="008E5DB5">
      <w:pPr>
        <w:pStyle w:val="aSection"/>
        <w:rPr>
          <w:rFonts w:asciiTheme="minorHAnsi" w:hAnsiTheme="minorHAnsi" w:cstheme="minorHAnsi"/>
          <w:sz w:val="20"/>
          <w:szCs w:val="20"/>
        </w:rPr>
      </w:pPr>
      <w:r w:rsidRPr="008E5DB5">
        <w:rPr>
          <w:rFonts w:asciiTheme="minorHAnsi" w:hAnsiTheme="minorHAnsi" w:cstheme="minorHAnsi"/>
          <w:sz w:val="20"/>
          <w:szCs w:val="20"/>
        </w:rPr>
        <w:t>§ 7B-601.  Appointment and duties of guardian ad litem.</w:t>
      </w:r>
    </w:p>
    <w:p w14:paraId="6AB0627D" w14:textId="77777777" w:rsidR="008E5DB5" w:rsidRPr="008E5DB5" w:rsidRDefault="008E5DB5" w:rsidP="008E5DB5">
      <w:pPr>
        <w:pStyle w:val="aSection"/>
        <w:rPr>
          <w:rFonts w:asciiTheme="minorHAnsi" w:hAnsiTheme="minorHAnsi" w:cstheme="minorHAnsi"/>
          <w:sz w:val="20"/>
          <w:szCs w:val="20"/>
        </w:rPr>
      </w:pPr>
    </w:p>
    <w:p w14:paraId="0BBF4FC6" w14:textId="77777777" w:rsidR="008E5DB5" w:rsidRPr="008E5DB5" w:rsidRDefault="008E5DB5" w:rsidP="008E5DB5">
      <w:pPr>
        <w:pStyle w:val="aMargin1"/>
        <w:rPr>
          <w:rFonts w:asciiTheme="minorHAnsi" w:hAnsiTheme="minorHAnsi" w:cstheme="minorHAnsi"/>
          <w:sz w:val="20"/>
          <w:szCs w:val="20"/>
        </w:rPr>
      </w:pPr>
      <w:r w:rsidRPr="008E5DB5">
        <w:rPr>
          <w:rFonts w:asciiTheme="minorHAnsi" w:hAnsiTheme="minorHAnsi" w:cstheme="minorHAnsi"/>
          <w:sz w:val="20"/>
          <w:szCs w:val="20"/>
        </w:rPr>
        <w:t xml:space="preserve">(a)        When in a petition a juvenile is alleged to be abused or neglected, the court shall appoint a guardian ad litem to represent the juvenile. When a juvenile is alleged to be dependent, the court may appoint a guardian ad litem to represent the juvenile. The juvenile is a party in all actions under this Subchapter. The guardian ad litem and attorney advocate have standing to represent the juvenile in all actions under this Subchapter where they have been appointed. The appointment shall be made pursuant to the program established by Article 12 of this Chapter unless representation is otherwise provided pursuant to G.S. 7B-1202 or G.S. 7B-1203. The appointment shall terminate when the permanent plan has been achieved for the juvenile and approved by the court. The court may reappoint the guardian ad litem pursuant to a showing of good cause upon motion of any party, including the guardian ad litem, or of the court. In every case where a nonattorney is appointed as a guardian ad litem, an attorney shall be appointed in the case in order to assure protection of the juvenile's legal rights throughout the proceeding. The duties of the guardian ad litem program shall be to make an investigation to determine the facts, the needs of the juvenile, and the available resources within the family and community to meet those needs; to facilitate, when appropriate, the settlement of disputed issues; to offer evidence and examine witnesses at adjudication; to explore options with the court at the dispositional hearing; to conduct follow-up investigations to insure that the orders of the court are being properly executed; to report to the court when the needs of the juvenile are not being met; and to protect and promote the best interests of the juvenile until formally relieved of </w:t>
      </w:r>
      <w:r w:rsidRPr="008E5DB5">
        <w:rPr>
          <w:rFonts w:asciiTheme="minorHAnsi" w:hAnsiTheme="minorHAnsi" w:cstheme="minorHAnsi"/>
          <w:sz w:val="20"/>
          <w:szCs w:val="20"/>
        </w:rPr>
        <w:t>the responsibility by the court.</w:t>
      </w:r>
    </w:p>
    <w:p w14:paraId="456403CB" w14:textId="77777777" w:rsidR="008E5DB5" w:rsidRPr="008E5DB5" w:rsidRDefault="008E5DB5" w:rsidP="008E5DB5">
      <w:pPr>
        <w:pStyle w:val="aMargin1"/>
        <w:rPr>
          <w:rFonts w:asciiTheme="minorHAnsi" w:hAnsiTheme="minorHAnsi" w:cstheme="minorHAnsi"/>
          <w:sz w:val="20"/>
          <w:szCs w:val="20"/>
        </w:rPr>
      </w:pPr>
    </w:p>
    <w:p w14:paraId="28F26AAC" w14:textId="77777777" w:rsidR="008E5DB5" w:rsidRPr="008E5DB5" w:rsidRDefault="008E5DB5" w:rsidP="008E5DB5">
      <w:pPr>
        <w:pStyle w:val="aMargin1"/>
        <w:rPr>
          <w:rFonts w:asciiTheme="minorHAnsi" w:hAnsiTheme="minorHAnsi" w:cstheme="minorHAnsi"/>
          <w:sz w:val="20"/>
          <w:szCs w:val="20"/>
        </w:rPr>
      </w:pPr>
      <w:r w:rsidRPr="008E5DB5">
        <w:rPr>
          <w:rFonts w:asciiTheme="minorHAnsi" w:hAnsiTheme="minorHAnsi" w:cstheme="minorHAnsi"/>
          <w:sz w:val="20"/>
          <w:szCs w:val="20"/>
        </w:rPr>
        <w:t>(b)        The court may authorize the guardian ad litem to accompany the juvenile to court in any criminal action wherein the juvenile may be called on to testify in a matter relating to abuse.</w:t>
      </w:r>
    </w:p>
    <w:p w14:paraId="76F31FD9" w14:textId="77777777" w:rsidR="008E5DB5" w:rsidRPr="008E5DB5" w:rsidRDefault="008E5DB5" w:rsidP="008E5DB5">
      <w:pPr>
        <w:pStyle w:val="aMargin1"/>
        <w:rPr>
          <w:rFonts w:asciiTheme="minorHAnsi" w:hAnsiTheme="minorHAnsi" w:cstheme="minorHAnsi"/>
          <w:sz w:val="20"/>
          <w:szCs w:val="20"/>
        </w:rPr>
      </w:pPr>
    </w:p>
    <w:p w14:paraId="6819C017" w14:textId="77777777" w:rsidR="008E5DB5" w:rsidRPr="008E5DB5" w:rsidRDefault="008E5DB5" w:rsidP="008E5DB5">
      <w:pPr>
        <w:pStyle w:val="aMargin1"/>
        <w:rPr>
          <w:rFonts w:asciiTheme="minorHAnsi" w:hAnsiTheme="minorHAnsi" w:cstheme="minorHAnsi"/>
          <w:sz w:val="20"/>
          <w:szCs w:val="20"/>
        </w:rPr>
      </w:pPr>
      <w:r w:rsidRPr="008E5DB5">
        <w:rPr>
          <w:rFonts w:asciiTheme="minorHAnsi" w:hAnsiTheme="minorHAnsi" w:cstheme="minorHAnsi"/>
          <w:sz w:val="20"/>
          <w:szCs w:val="20"/>
        </w:rPr>
        <w:t xml:space="preserve">(c)        The guardian ad litem has the authority to obtain any information or reports, whether or not confidential, that may in the guardian ad </w:t>
      </w:r>
      <w:proofErr w:type="spellStart"/>
      <w:r w:rsidRPr="008E5DB5">
        <w:rPr>
          <w:rFonts w:asciiTheme="minorHAnsi" w:hAnsiTheme="minorHAnsi" w:cstheme="minorHAnsi"/>
          <w:sz w:val="20"/>
          <w:szCs w:val="20"/>
        </w:rPr>
        <w:t>litem's</w:t>
      </w:r>
      <w:proofErr w:type="spellEnd"/>
      <w:r w:rsidRPr="008E5DB5">
        <w:rPr>
          <w:rFonts w:asciiTheme="minorHAnsi" w:hAnsiTheme="minorHAnsi" w:cstheme="minorHAnsi"/>
          <w:sz w:val="20"/>
          <w:szCs w:val="20"/>
        </w:rPr>
        <w:t xml:space="preserve"> opinion be relevant to the case. No privilege other than the attorney-client privilege may be invoked to prevent the guardian ad litem and the court from obtaining such information. The confidentiality of the information or reports shall be respected by the guardian ad litem, and no disclosure of any information or reports shall be made to anyone except by order of the court or unless otherwise provided by law. </w:t>
      </w:r>
      <w:bookmarkStart w:id="1" w:name="HistoryNote"/>
      <w:r w:rsidRPr="008E5DB5">
        <w:rPr>
          <w:rStyle w:val="cHistoryNote"/>
          <w:rFonts w:asciiTheme="minorHAnsi" w:hAnsiTheme="minorHAnsi" w:cstheme="minorHAnsi"/>
          <w:sz w:val="20"/>
          <w:szCs w:val="20"/>
        </w:rPr>
        <w:t>(1979, c. 815, s. 1; 1981, c. 528; 1983, c. 761, s. 159; 1987 (Reg. Sess., 1988), c. 1090, s. 5; 1993, c. 537, s. 1; 1995, c. 324, s. 21.13; 1998-202, s. 6; 1999-432, s. 1; 1999-456, s. 60.)</w:t>
      </w:r>
      <w:bookmarkEnd w:id="1"/>
    </w:p>
    <w:p w14:paraId="3EEB20BA" w14:textId="77777777" w:rsidR="002950BF" w:rsidRPr="008E5DB5" w:rsidRDefault="002950BF">
      <w:pPr>
        <w:rPr>
          <w:rFonts w:cstheme="minorHAnsi"/>
          <w:sz w:val="20"/>
          <w:szCs w:val="20"/>
        </w:rPr>
      </w:pPr>
    </w:p>
    <w:p w14:paraId="5D534866" w14:textId="77777777" w:rsidR="008E5DB5" w:rsidRPr="008E5DB5" w:rsidRDefault="008E5DB5" w:rsidP="008E5DB5">
      <w:pPr>
        <w:spacing w:after="0" w:line="240" w:lineRule="auto"/>
        <w:ind w:left="1080" w:hanging="1080"/>
        <w:jc w:val="both"/>
        <w:rPr>
          <w:rFonts w:cstheme="minorHAnsi"/>
          <w:b/>
          <w:bCs/>
          <w:sz w:val="20"/>
          <w:szCs w:val="20"/>
        </w:rPr>
      </w:pPr>
      <w:r w:rsidRPr="008E5DB5">
        <w:rPr>
          <w:rFonts w:cstheme="minorHAnsi"/>
          <w:b/>
          <w:bCs/>
          <w:sz w:val="20"/>
          <w:szCs w:val="20"/>
        </w:rPr>
        <w:t>§ 7B-1108.  Answer or response of parent; appointment of guardian ad litem for juvenile.</w:t>
      </w:r>
    </w:p>
    <w:p w14:paraId="5F0D602C" w14:textId="77777777" w:rsidR="008E5DB5" w:rsidRPr="008E5DB5" w:rsidRDefault="008E5DB5" w:rsidP="008E5DB5">
      <w:pPr>
        <w:spacing w:after="0" w:line="240" w:lineRule="auto"/>
        <w:ind w:left="1080" w:hanging="1080"/>
        <w:jc w:val="both"/>
        <w:rPr>
          <w:rFonts w:cstheme="minorHAnsi"/>
          <w:b/>
          <w:bCs/>
          <w:sz w:val="20"/>
          <w:szCs w:val="20"/>
        </w:rPr>
      </w:pPr>
    </w:p>
    <w:p w14:paraId="1F2F6023" w14:textId="77777777" w:rsidR="008E5DB5" w:rsidRPr="008E5DB5" w:rsidRDefault="008E5DB5" w:rsidP="008E5DB5">
      <w:pPr>
        <w:spacing w:after="0" w:line="240" w:lineRule="auto"/>
        <w:ind w:firstLine="360"/>
        <w:jc w:val="both"/>
        <w:rPr>
          <w:rFonts w:cstheme="minorHAnsi"/>
          <w:sz w:val="20"/>
          <w:szCs w:val="20"/>
        </w:rPr>
      </w:pPr>
      <w:r w:rsidRPr="008E5DB5">
        <w:rPr>
          <w:rFonts w:cstheme="minorHAnsi"/>
          <w:sz w:val="20"/>
          <w:szCs w:val="20"/>
        </w:rPr>
        <w:t>(a)        Any respondent may file a written answer to the petition or written response to the motion. Only a district court judge may grant an extension of time in which to answer or respond. The answer or response shall admit or deny the allegations of the petition or motion and shall set forth the name and address of the answering respondent or the respondent's attorney.</w:t>
      </w:r>
    </w:p>
    <w:p w14:paraId="7787E49F" w14:textId="77777777" w:rsidR="008E5DB5" w:rsidRPr="008E5DB5" w:rsidRDefault="008E5DB5" w:rsidP="008E5DB5">
      <w:pPr>
        <w:spacing w:after="0" w:line="240" w:lineRule="auto"/>
        <w:ind w:firstLine="360"/>
        <w:jc w:val="both"/>
        <w:rPr>
          <w:rFonts w:cstheme="minorHAnsi"/>
          <w:sz w:val="20"/>
          <w:szCs w:val="20"/>
        </w:rPr>
      </w:pPr>
    </w:p>
    <w:p w14:paraId="335A93A9" w14:textId="77777777" w:rsidR="008E5DB5" w:rsidRPr="008E5DB5" w:rsidRDefault="008E5DB5" w:rsidP="008E5DB5">
      <w:pPr>
        <w:spacing w:after="0" w:line="240" w:lineRule="auto"/>
        <w:ind w:firstLine="360"/>
        <w:jc w:val="both"/>
        <w:rPr>
          <w:rFonts w:cstheme="minorHAnsi"/>
          <w:sz w:val="20"/>
          <w:szCs w:val="20"/>
        </w:rPr>
      </w:pPr>
      <w:r w:rsidRPr="008E5DB5">
        <w:rPr>
          <w:rFonts w:cstheme="minorHAnsi"/>
          <w:sz w:val="20"/>
          <w:szCs w:val="20"/>
        </w:rPr>
        <w:t>(b)        If an answer or response denies any material allegation of the petition or motion, the court shall appoint a guardian ad litem for the juvenile to represent the best interests of the juvenile, unless the petition or motion was filed by the guardian ad litem pursuant to G.S. 7B-1103, or a guardian ad litem has already been appointed pursuant to G.S. 7B-601. A licensed attorney shall be appointed to assist those guardians ad litem who are not attorneys licensed to practice in North Carolina. The appointment, duties, and payment of the guardian ad litem shall be the same as in G.S. 7B-601 and G.S. 7B-603, but in no event shall a guardian ad litem who is trained and supervised by the guardian ad litem program be appointed to any case unless the juvenile is or has been the subject of a petition for abuse, neglect, or dependency or with good cause shown the local guardian ad litem program consents to the appointment.</w:t>
      </w:r>
    </w:p>
    <w:p w14:paraId="34DF8373" w14:textId="77777777" w:rsidR="008E5DB5" w:rsidRPr="008E5DB5" w:rsidRDefault="008E5DB5" w:rsidP="008E5DB5">
      <w:pPr>
        <w:spacing w:after="0" w:line="240" w:lineRule="auto"/>
        <w:ind w:firstLine="360"/>
        <w:jc w:val="both"/>
        <w:rPr>
          <w:rFonts w:cstheme="minorHAnsi"/>
          <w:sz w:val="20"/>
          <w:szCs w:val="20"/>
        </w:rPr>
      </w:pPr>
    </w:p>
    <w:p w14:paraId="7DC2B06F" w14:textId="77777777" w:rsidR="008E5DB5" w:rsidRPr="008E5DB5" w:rsidRDefault="008E5DB5" w:rsidP="008E5DB5">
      <w:pPr>
        <w:spacing w:after="0" w:line="240" w:lineRule="auto"/>
        <w:ind w:firstLine="360"/>
        <w:jc w:val="both"/>
        <w:rPr>
          <w:rFonts w:cstheme="minorHAnsi"/>
          <w:sz w:val="20"/>
          <w:szCs w:val="20"/>
        </w:rPr>
      </w:pPr>
      <w:r w:rsidRPr="008E5DB5">
        <w:rPr>
          <w:rFonts w:cstheme="minorHAnsi"/>
          <w:sz w:val="20"/>
          <w:szCs w:val="20"/>
        </w:rPr>
        <w:lastRenderedPageBreak/>
        <w:t>(c)        In proceedings under this Article, the appointment of a guardian ad litem shall not be required except, as provided above, in cases in which an answer or response is filed denying material allegations, or as required under G.S. 7B-1101; but the court may, in its discretion, appoint a guardian ad litem for a juvenile, either before or after determining the existence of grounds for termination of parental rights, in order to assist the court in determining the best interests of the juvenile.</w:t>
      </w:r>
    </w:p>
    <w:p w14:paraId="30F7947A" w14:textId="77777777" w:rsidR="008E5DB5" w:rsidRPr="008E5DB5" w:rsidRDefault="008E5DB5" w:rsidP="008E5DB5">
      <w:pPr>
        <w:spacing w:after="0" w:line="240" w:lineRule="auto"/>
        <w:ind w:firstLine="360"/>
        <w:jc w:val="both"/>
        <w:rPr>
          <w:rFonts w:cstheme="minorHAnsi"/>
          <w:sz w:val="20"/>
          <w:szCs w:val="20"/>
        </w:rPr>
      </w:pPr>
    </w:p>
    <w:p w14:paraId="2507D36E" w14:textId="77777777" w:rsidR="008E5DB5" w:rsidRPr="008E5DB5" w:rsidRDefault="008E5DB5" w:rsidP="008E5DB5">
      <w:pPr>
        <w:spacing w:after="0" w:line="240" w:lineRule="auto"/>
        <w:ind w:firstLine="360"/>
        <w:jc w:val="both"/>
        <w:rPr>
          <w:rFonts w:cstheme="minorHAnsi"/>
          <w:sz w:val="20"/>
          <w:szCs w:val="20"/>
        </w:rPr>
      </w:pPr>
      <w:r w:rsidRPr="008E5DB5">
        <w:rPr>
          <w:rFonts w:cstheme="minorHAnsi"/>
          <w:sz w:val="20"/>
          <w:szCs w:val="20"/>
        </w:rPr>
        <w:t>(d)       If a guardian ad litem has previously been appointed for the juvenile under G.S. 7B-601, and the appointment of a guardian ad litem could also be made under this section, the guardian ad litem appointed under G.S. 7B-601, and any attorney appointed to assist that guardian, shall also represent the juvenile in all proceedings under this Article and shall have the duties and payment of a guardian ad litem appointed under this section, unless the court determines that the best interests of the juvenile require otherwise.  (1977, c. 879, s. 8; 1981 (Reg. Sess., 1982), c. 1331, s. 3; 1983, c. 870, s. 2; 1989 (Reg. Sess., 1990), c. 851, s. 1; 1998-202, s. 6; 1999-456, s. 60; 2000-183, s. 8; 2003-140, s. 7; 2009-311, s. 12; 2011-295, s. 14.)</w:t>
      </w:r>
    </w:p>
    <w:p w14:paraId="3846E4E6" w14:textId="77777777" w:rsidR="008E5DB5" w:rsidRPr="008E5DB5" w:rsidRDefault="008E5DB5">
      <w:pPr>
        <w:rPr>
          <w:rFonts w:cstheme="minorHAnsi"/>
          <w:sz w:val="20"/>
          <w:szCs w:val="20"/>
        </w:rPr>
      </w:pPr>
    </w:p>
    <w:p w14:paraId="12C81F67" w14:textId="77777777" w:rsidR="008E5DB5" w:rsidRPr="008E5DB5" w:rsidRDefault="008E5DB5" w:rsidP="008E5DB5">
      <w:pPr>
        <w:pStyle w:val="aSection"/>
        <w:rPr>
          <w:rFonts w:asciiTheme="minorHAnsi" w:hAnsiTheme="minorHAnsi" w:cstheme="minorHAnsi"/>
          <w:sz w:val="20"/>
          <w:szCs w:val="20"/>
        </w:rPr>
      </w:pPr>
      <w:r w:rsidRPr="008E5DB5">
        <w:rPr>
          <w:rFonts w:asciiTheme="minorHAnsi" w:hAnsiTheme="minorHAnsi" w:cstheme="minorHAnsi"/>
          <w:sz w:val="20"/>
          <w:szCs w:val="20"/>
        </w:rPr>
        <w:t>§ 7B-1200.  Office of Guardian ad Litem Services established.</w:t>
      </w:r>
    </w:p>
    <w:p w14:paraId="22696FB6" w14:textId="77777777" w:rsidR="008E5DB5" w:rsidRPr="008E5DB5" w:rsidRDefault="008E5DB5" w:rsidP="008E5DB5">
      <w:pPr>
        <w:pStyle w:val="aMargin1"/>
        <w:rPr>
          <w:rFonts w:asciiTheme="minorHAnsi" w:hAnsiTheme="minorHAnsi" w:cstheme="minorHAnsi"/>
          <w:sz w:val="20"/>
          <w:szCs w:val="20"/>
        </w:rPr>
      </w:pPr>
      <w:r w:rsidRPr="008E5DB5">
        <w:rPr>
          <w:rFonts w:asciiTheme="minorHAnsi" w:hAnsiTheme="minorHAnsi" w:cstheme="minorHAnsi"/>
          <w:sz w:val="20"/>
          <w:szCs w:val="20"/>
        </w:rPr>
        <w:t xml:space="preserve">There is established within the Administrative Office of the Courts an Office of Guardian ad Litem Services to provide services in accordance with G.S. 7B-601 to abused, neglected, or dependent juveniles involved in judicial proceedings and to assure that all participants in these proceedings are adequately trained to carry out their responsibilities. Each local program shall consist of volunteer </w:t>
      </w:r>
      <w:proofErr w:type="gramStart"/>
      <w:r w:rsidRPr="008E5DB5">
        <w:rPr>
          <w:rFonts w:asciiTheme="minorHAnsi" w:hAnsiTheme="minorHAnsi" w:cstheme="minorHAnsi"/>
          <w:sz w:val="20"/>
          <w:szCs w:val="20"/>
        </w:rPr>
        <w:t>guardians</w:t>
      </w:r>
      <w:proofErr w:type="gramEnd"/>
      <w:r w:rsidRPr="008E5DB5">
        <w:rPr>
          <w:rFonts w:asciiTheme="minorHAnsi" w:hAnsiTheme="minorHAnsi" w:cstheme="minorHAnsi"/>
          <w:sz w:val="20"/>
          <w:szCs w:val="20"/>
        </w:rPr>
        <w:t xml:space="preserve"> ad litem, at least one program attorney, a program coordinator who is a paid State employee, and any clerical staff as the Administrative Office of the Courts in consultation with the local program deems necessary. The Administrative Office of the Courts shall adopt rules and regulations necessary and appropriate for the administration of the program. </w:t>
      </w:r>
      <w:r w:rsidRPr="008E5DB5">
        <w:rPr>
          <w:rStyle w:val="cHistoryNote"/>
          <w:rFonts w:asciiTheme="minorHAnsi" w:hAnsiTheme="minorHAnsi" w:cstheme="minorHAnsi"/>
          <w:sz w:val="20"/>
          <w:szCs w:val="20"/>
        </w:rPr>
        <w:t>(1983, c. 761, s. 160; 1987 (Reg. Sess., 1988), c. 1037, s. 32; c. 1090, s. 7; 1998-202, s. 6.)</w:t>
      </w:r>
    </w:p>
    <w:p w14:paraId="41EF62EC" w14:textId="77777777" w:rsidR="008E5DB5" w:rsidRPr="008E5DB5" w:rsidRDefault="008E5DB5">
      <w:pPr>
        <w:rPr>
          <w:rFonts w:cstheme="minorHAnsi"/>
          <w:sz w:val="20"/>
          <w:szCs w:val="20"/>
        </w:rPr>
      </w:pPr>
    </w:p>
    <w:p w14:paraId="17B2CE5B" w14:textId="77777777" w:rsidR="008E5DB5" w:rsidRPr="008E5DB5" w:rsidRDefault="008E5DB5" w:rsidP="008E5DB5">
      <w:pPr>
        <w:pStyle w:val="aSection"/>
        <w:rPr>
          <w:rFonts w:asciiTheme="minorHAnsi" w:hAnsiTheme="minorHAnsi" w:cstheme="minorHAnsi"/>
          <w:sz w:val="20"/>
          <w:szCs w:val="20"/>
        </w:rPr>
      </w:pPr>
      <w:r w:rsidRPr="008E5DB5">
        <w:rPr>
          <w:rFonts w:asciiTheme="minorHAnsi" w:hAnsiTheme="minorHAnsi" w:cstheme="minorHAnsi"/>
          <w:sz w:val="20"/>
          <w:szCs w:val="20"/>
        </w:rPr>
        <w:t>§ 7B-1204.  Civil liability of volunteers.</w:t>
      </w:r>
    </w:p>
    <w:p w14:paraId="41A32BA3" w14:textId="77777777" w:rsidR="008E5DB5" w:rsidRPr="008E5DB5" w:rsidRDefault="008E5DB5" w:rsidP="008E5DB5">
      <w:pPr>
        <w:pStyle w:val="aMargin1"/>
        <w:rPr>
          <w:rFonts w:asciiTheme="minorHAnsi" w:hAnsiTheme="minorHAnsi" w:cstheme="minorHAnsi"/>
          <w:sz w:val="20"/>
          <w:szCs w:val="20"/>
        </w:rPr>
      </w:pPr>
      <w:r w:rsidRPr="008E5DB5">
        <w:rPr>
          <w:rFonts w:asciiTheme="minorHAnsi" w:hAnsiTheme="minorHAnsi" w:cstheme="minorHAnsi"/>
          <w:sz w:val="20"/>
          <w:szCs w:val="20"/>
        </w:rPr>
        <w:t xml:space="preserve">Any volunteer participating in a judicial proceeding pursuant to the program authorized by this Article shall not be civilly liable for acts or omissions committed in connection with the proceeding if the volunteer acted in good faith and was not guilty of gross negligence. </w:t>
      </w:r>
      <w:r w:rsidRPr="008E5DB5">
        <w:rPr>
          <w:rStyle w:val="cHistoryNote"/>
          <w:rFonts w:asciiTheme="minorHAnsi" w:hAnsiTheme="minorHAnsi" w:cstheme="minorHAnsi"/>
          <w:sz w:val="20"/>
          <w:szCs w:val="20"/>
        </w:rPr>
        <w:t>(1983, c. 761, s. 160; 1998-202, s. 6.)</w:t>
      </w:r>
    </w:p>
    <w:p w14:paraId="2BCDD6FF" w14:textId="77777777" w:rsidR="008E5DB5" w:rsidRPr="008E5DB5" w:rsidRDefault="008E5DB5">
      <w:pPr>
        <w:rPr>
          <w:sz w:val="20"/>
          <w:szCs w:val="20"/>
        </w:rPr>
      </w:pPr>
    </w:p>
    <w:sectPr w:rsidR="008E5DB5" w:rsidRPr="008E5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B5"/>
    <w:rsid w:val="002950BF"/>
    <w:rsid w:val="008E5DB5"/>
    <w:rsid w:val="00D7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80E7"/>
  <w15:chartTrackingRefBased/>
  <w15:docId w15:val="{C15B116C-81DD-46E4-B58A-65BCD9A7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rgin1">
    <w:name w:val="aMargin1"/>
    <w:basedOn w:val="Normal"/>
    <w:rsid w:val="008E5DB5"/>
    <w:pPr>
      <w:spacing w:after="0" w:line="240" w:lineRule="auto"/>
      <w:ind w:firstLine="360"/>
      <w:jc w:val="both"/>
    </w:pPr>
    <w:rPr>
      <w:rFonts w:ascii="Times New Roman" w:eastAsia="Times New Roman" w:hAnsi="Times New Roman" w:cs="Times New Roman"/>
      <w:sz w:val="26"/>
      <w:szCs w:val="26"/>
    </w:rPr>
  </w:style>
  <w:style w:type="paragraph" w:customStyle="1" w:styleId="aSection">
    <w:name w:val="aSection"/>
    <w:basedOn w:val="Normal"/>
    <w:rsid w:val="008E5DB5"/>
    <w:pPr>
      <w:spacing w:after="0" w:line="240" w:lineRule="auto"/>
      <w:ind w:left="1080" w:hanging="1080"/>
      <w:jc w:val="both"/>
    </w:pPr>
    <w:rPr>
      <w:rFonts w:ascii="Times New Roman" w:eastAsia="Times New Roman" w:hAnsi="Times New Roman" w:cs="Times New Roman"/>
      <w:b/>
      <w:bCs/>
      <w:sz w:val="26"/>
      <w:szCs w:val="26"/>
    </w:rPr>
  </w:style>
  <w:style w:type="character" w:customStyle="1" w:styleId="cHistoryNote">
    <w:name w:val="cHistoryNote"/>
    <w:basedOn w:val="DefaultParagraphFont"/>
    <w:rsid w:val="008E5DB5"/>
    <w:rPr>
      <w:rFonts w:ascii="Times New (W1)" w:hAnsi="Times New (W1)" w:hint="default"/>
    </w:rPr>
  </w:style>
  <w:style w:type="paragraph" w:styleId="ListParagraph">
    <w:name w:val="List Paragraph"/>
    <w:basedOn w:val="Normal"/>
    <w:uiPriority w:val="34"/>
    <w:qFormat/>
    <w:rsid w:val="008E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31124">
      <w:bodyDiv w:val="1"/>
      <w:marLeft w:val="0"/>
      <w:marRight w:val="0"/>
      <w:marTop w:val="0"/>
      <w:marBottom w:val="0"/>
      <w:divBdr>
        <w:top w:val="none" w:sz="0" w:space="0" w:color="auto"/>
        <w:left w:val="none" w:sz="0" w:space="0" w:color="auto"/>
        <w:bottom w:val="none" w:sz="0" w:space="0" w:color="auto"/>
        <w:right w:val="none" w:sz="0" w:space="0" w:color="auto"/>
      </w:divBdr>
    </w:div>
    <w:div w:id="216818092">
      <w:bodyDiv w:val="1"/>
      <w:marLeft w:val="0"/>
      <w:marRight w:val="0"/>
      <w:marTop w:val="0"/>
      <w:marBottom w:val="0"/>
      <w:divBdr>
        <w:top w:val="none" w:sz="0" w:space="0" w:color="auto"/>
        <w:left w:val="none" w:sz="0" w:space="0" w:color="auto"/>
        <w:bottom w:val="none" w:sz="0" w:space="0" w:color="auto"/>
        <w:right w:val="none" w:sz="0" w:space="0" w:color="auto"/>
      </w:divBdr>
    </w:div>
    <w:div w:id="607154879">
      <w:bodyDiv w:val="1"/>
      <w:marLeft w:val="0"/>
      <w:marRight w:val="0"/>
      <w:marTop w:val="0"/>
      <w:marBottom w:val="0"/>
      <w:divBdr>
        <w:top w:val="none" w:sz="0" w:space="0" w:color="auto"/>
        <w:left w:val="none" w:sz="0" w:space="0" w:color="auto"/>
        <w:bottom w:val="none" w:sz="0" w:space="0" w:color="auto"/>
        <w:right w:val="none" w:sz="0" w:space="0" w:color="auto"/>
      </w:divBdr>
    </w:div>
    <w:div w:id="7135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EABB2FFF5BC48B091BB6E200B43EB" ma:contentTypeVersion="0" ma:contentTypeDescription="Create a new document." ma:contentTypeScope="" ma:versionID="1da47b1400ccf5843ec5d4b687ca50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8929A-D6B2-4681-B751-3565A44ECF3E}"/>
</file>

<file path=customXml/itemProps2.xml><?xml version="1.0" encoding="utf-8"?>
<ds:datastoreItem xmlns:ds="http://schemas.openxmlformats.org/officeDocument/2006/customXml" ds:itemID="{BD658854-FF45-419B-9B6F-2EAFD0C7B06E}"/>
</file>

<file path=customXml/itemProps3.xml><?xml version="1.0" encoding="utf-8"?>
<ds:datastoreItem xmlns:ds="http://schemas.openxmlformats.org/officeDocument/2006/customXml" ds:itemID="{FB0F5082-296C-4AA8-9A31-9120F2A0D1FD}"/>
</file>

<file path=docProps/app.xml><?xml version="1.0" encoding="utf-8"?>
<Properties xmlns="http://schemas.openxmlformats.org/officeDocument/2006/extended-properties" xmlns:vt="http://schemas.openxmlformats.org/officeDocument/2006/docPropsVTypes">
  <Template>Normal.dotm</Template>
  <TotalTime>7</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Deana K.</dc:creator>
  <cp:keywords/>
  <dc:description/>
  <cp:lastModifiedBy>Fleming, Deana K.</cp:lastModifiedBy>
  <cp:revision>2</cp:revision>
  <dcterms:created xsi:type="dcterms:W3CDTF">2014-11-06T20:49:00Z</dcterms:created>
  <dcterms:modified xsi:type="dcterms:W3CDTF">2014-11-06T20:57:00Z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0x010100604EABB2FFF5BC48B091BB6E200B43EB</vt:lpwstr>
  </property>
</Properties>
</file>