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B04B5" w14:textId="265F3B99" w:rsidR="00F11DF3" w:rsidRPr="00F11DF3" w:rsidRDefault="00E301EC" w:rsidP="00F11DF3">
      <w:pPr>
        <w:pStyle w:val="NoSpacing"/>
        <w:jc w:val="center"/>
        <w:rPr>
          <w:rFonts w:ascii="Times New Roman" w:hAnsi="Times New Roman" w:cs="Times New Roman"/>
          <w:sz w:val="32"/>
          <w:szCs w:val="32"/>
        </w:rPr>
      </w:pPr>
      <w:r w:rsidRPr="00F11DF3">
        <w:rPr>
          <w:rFonts w:ascii="Times New Roman" w:hAnsi="Times New Roman" w:cs="Times New Roman"/>
          <w:sz w:val="32"/>
          <w:szCs w:val="32"/>
        </w:rPr>
        <w:t>Advisory Board Governance Checklist</w:t>
      </w:r>
    </w:p>
    <w:p w14:paraId="6E5525B4" w14:textId="54C39AEB" w:rsidR="00E301EC" w:rsidRDefault="00E301EC" w:rsidP="00F11DF3">
      <w:pPr>
        <w:pStyle w:val="NoSpacing"/>
        <w:jc w:val="center"/>
        <w:rPr>
          <w:rFonts w:ascii="Times New Roman" w:hAnsi="Times New Roman" w:cs="Times New Roman"/>
          <w:i/>
          <w:iCs/>
          <w:sz w:val="32"/>
          <w:szCs w:val="32"/>
        </w:rPr>
      </w:pPr>
      <w:r w:rsidRPr="00F11DF3">
        <w:rPr>
          <w:rFonts w:ascii="Times New Roman" w:hAnsi="Times New Roman" w:cs="Times New Roman"/>
          <w:i/>
          <w:iCs/>
          <w:sz w:val="32"/>
          <w:szCs w:val="32"/>
        </w:rPr>
        <w:t>(For Counties and Municipalities)</w:t>
      </w:r>
    </w:p>
    <w:p w14:paraId="6C29B874" w14:textId="19B77B56" w:rsidR="00DB2C09" w:rsidRPr="00DB2C09" w:rsidRDefault="00DB2C09" w:rsidP="00F11DF3">
      <w:pPr>
        <w:pStyle w:val="NoSpacing"/>
        <w:jc w:val="center"/>
        <w:rPr>
          <w:rFonts w:ascii="Times New Roman" w:hAnsi="Times New Roman" w:cs="Times New Roman"/>
        </w:rPr>
      </w:pPr>
      <w:r w:rsidRPr="00DB2C09">
        <w:rPr>
          <w:rFonts w:ascii="Times New Roman" w:hAnsi="Times New Roman" w:cs="Times New Roman"/>
        </w:rPr>
        <w:t>J.B. Stephens – School of Government</w:t>
      </w:r>
    </w:p>
    <w:p w14:paraId="73E9B5E5" w14:textId="19D32BDB" w:rsidR="00DB2C09" w:rsidRPr="00DB2C09" w:rsidRDefault="00DB2C09" w:rsidP="00F11DF3">
      <w:pPr>
        <w:pStyle w:val="NoSpacing"/>
        <w:jc w:val="center"/>
        <w:rPr>
          <w:rFonts w:ascii="Times New Roman" w:hAnsi="Times New Roman" w:cs="Times New Roman"/>
        </w:rPr>
      </w:pPr>
      <w:r w:rsidRPr="00DB2C09">
        <w:rPr>
          <w:rFonts w:ascii="Times New Roman" w:hAnsi="Times New Roman" w:cs="Times New Roman"/>
        </w:rPr>
        <w:t>Developed with ChatGPT</w:t>
      </w:r>
    </w:p>
    <w:p w14:paraId="7EF27E29" w14:textId="77777777" w:rsidR="00DB2C09" w:rsidRPr="00F11DF3" w:rsidRDefault="00DB2C09" w:rsidP="00F11DF3">
      <w:pPr>
        <w:pStyle w:val="NoSpacing"/>
        <w:jc w:val="center"/>
        <w:rPr>
          <w:rFonts w:ascii="Times New Roman" w:hAnsi="Times New Roman" w:cs="Times New Roman"/>
          <w:sz w:val="32"/>
          <w:szCs w:val="32"/>
        </w:rPr>
      </w:pPr>
    </w:p>
    <w:p w14:paraId="539465B9" w14:textId="77777777" w:rsidR="00E301EC" w:rsidRPr="00F11DF3" w:rsidRDefault="00E301EC" w:rsidP="00E301EC">
      <w:pPr>
        <w:rPr>
          <w:rFonts w:ascii="Times New Roman" w:hAnsi="Times New Roman" w:cs="Times New Roman"/>
          <w:sz w:val="28"/>
          <w:szCs w:val="28"/>
        </w:rPr>
      </w:pPr>
      <w:r w:rsidRPr="00F11DF3">
        <w:rPr>
          <w:rFonts w:ascii="Times New Roman" w:hAnsi="Times New Roman" w:cs="Times New Roman"/>
          <w:b/>
          <w:bCs/>
          <w:sz w:val="28"/>
          <w:szCs w:val="28"/>
        </w:rPr>
        <w:t>Purpose:</w:t>
      </w:r>
      <w:r w:rsidRPr="00F11DF3">
        <w:rPr>
          <w:rFonts w:ascii="Times New Roman" w:hAnsi="Times New Roman" w:cs="Times New Roman"/>
          <w:sz w:val="28"/>
          <w:szCs w:val="28"/>
        </w:rPr>
        <w:br/>
        <w:t>This checklist helps local governments assess whether their advisory boards operate with clear governance structures, legal compliance, and effective accountability.</w:t>
      </w:r>
    </w:p>
    <w:p w14:paraId="7F0F4371"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6BEDC03F">
          <v:rect id="_x0000_i1026" style="width:0;height:1.5pt" o:hralign="center" o:hrstd="t" o:hr="t" fillcolor="#a0a0a0" stroked="f"/>
        </w:pict>
      </w:r>
    </w:p>
    <w:p w14:paraId="079B5312"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1. Legal Foundation</w:t>
      </w:r>
    </w:p>
    <w:p w14:paraId="6CCE8751"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Advisory boards are authorized by statute or local ordinance/resolution</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Policy cites relevant state laws (e.g., advisory board authority statutes)</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Open Meetings Law requirements are acknowledged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Public Records Law requirements are acknowledged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Policy clarifies that statutes override local policy where conflicts occur</w:t>
      </w:r>
    </w:p>
    <w:p w14:paraId="4A2A2DF4"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1AF51598">
          <v:rect id="_x0000_i1027" style="width:0;height:1.5pt" o:hralign="center" o:hrstd="t" o:hr="t" fillcolor="#a0a0a0" stroked="f"/>
        </w:pict>
      </w:r>
    </w:p>
    <w:p w14:paraId="4F31C979"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2. Board Creation and Scope</w:t>
      </w:r>
    </w:p>
    <w:p w14:paraId="440B0D02"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Governing board formally establishes advisory boards by resolution or ordinance</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Each advisory board has a </w:t>
      </w:r>
      <w:r w:rsidRPr="00F11DF3">
        <w:rPr>
          <w:rFonts w:ascii="Times New Roman" w:hAnsi="Times New Roman" w:cs="Times New Roman"/>
          <w:b/>
          <w:bCs/>
        </w:rPr>
        <w:t>clear charge or mission</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Membership size is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Staff support is designated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Sunset provisions or review timelines are included for temporary boards</w:t>
      </w:r>
    </w:p>
    <w:p w14:paraId="76FEEEB3"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474A207D">
          <v:rect id="_x0000_i1028" style="width:0;height:1.5pt" o:hralign="center" o:hrstd="t" o:hr="t" fillcolor="#a0a0a0" stroked="f"/>
        </w:pict>
      </w:r>
    </w:p>
    <w:p w14:paraId="2D18353A"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3. Membership and Eligibility</w:t>
      </w:r>
    </w:p>
    <w:p w14:paraId="14BEB0A3"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Minimum age requirements defined (e.g., 18+)</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Residency requirements defined (if applicable)</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Restrictions on employees or elected officials clarified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Conflict-of-interest eligibility criteria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Policy encourages diversity of representation (geographic, demographic, expertise)</w:t>
      </w:r>
    </w:p>
    <w:p w14:paraId="728B2A63" w14:textId="77777777" w:rsidR="00E301EC" w:rsidRDefault="001A4931" w:rsidP="00E301EC">
      <w:pPr>
        <w:rPr>
          <w:rFonts w:ascii="Times New Roman" w:hAnsi="Times New Roman" w:cs="Times New Roman"/>
        </w:rPr>
      </w:pPr>
      <w:r>
        <w:rPr>
          <w:rFonts w:ascii="Times New Roman" w:hAnsi="Times New Roman" w:cs="Times New Roman"/>
        </w:rPr>
        <w:pict w14:anchorId="01CD4510">
          <v:rect id="_x0000_i1029" style="width:0;height:1.5pt" o:hralign="center" o:bullet="t" o:hrstd="t" o:hr="t" fillcolor="#a0a0a0" stroked="f"/>
        </w:pict>
      </w:r>
    </w:p>
    <w:p w14:paraId="5FE61B9D"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lastRenderedPageBreak/>
        <w:t>4. Recruitment and Appointment Process</w:t>
      </w:r>
    </w:p>
    <w:p w14:paraId="19BE356C"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Vacancies publicly advertised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Standard application process used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Clerk or staff verifies eligibility</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Governing board makes final appointments</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Reappointment procedures defined</w:t>
      </w:r>
    </w:p>
    <w:p w14:paraId="31142C7A"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3ADF2EA2">
          <v:rect id="_x0000_i1030" style="width:0;height:1.5pt" o:hralign="center" o:hrstd="t" o:hr="t" fillcolor="#a0a0a0" stroked="f"/>
        </w:pict>
      </w:r>
    </w:p>
    <w:p w14:paraId="6DFB1FA8"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5. Terms of Office</w:t>
      </w:r>
    </w:p>
    <w:p w14:paraId="55FA59FB"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Term length defined (commonly 2–3 years)</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Terms staggered to ensure continuity</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Rules for reappointment clarified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Term limits addressed (if applicable)</w:t>
      </w:r>
    </w:p>
    <w:p w14:paraId="005AC608"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1F0CE30F">
          <v:rect id="_x0000_i1031" style="width:0;height:1.5pt" o:hralign="center" o:hrstd="t" o:hr="t" fillcolor="#a0a0a0" stroked="f"/>
        </w:pict>
      </w:r>
    </w:p>
    <w:p w14:paraId="356BDE33"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6. Vacancies, Resignations, and Removal</w:t>
      </w:r>
    </w:p>
    <w:p w14:paraId="06381456"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Process for filling vacancies established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Written resignation procedures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Removal authority defined (usually governing board)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Attendance violations may trigger removal</w:t>
      </w:r>
    </w:p>
    <w:p w14:paraId="3070E5E2"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4C6F77A3">
          <v:rect id="_x0000_i1032" style="width:0;height:1.5pt" o:hralign="center" o:hrstd="t" o:hr="t" fillcolor="#a0a0a0" stroked="f"/>
        </w:pict>
      </w:r>
    </w:p>
    <w:p w14:paraId="762FE33E"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7. Roles and Responsibilities</w:t>
      </w:r>
    </w:p>
    <w:p w14:paraId="262DC10E"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Advisory board responsibilities clearly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Chair and vice-chair roles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Staff liaison responsibilities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Governing board liaison role defined (optional)</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Advisory boards explicitly </w:t>
      </w:r>
      <w:r w:rsidRPr="00F11DF3">
        <w:rPr>
          <w:rFonts w:ascii="Times New Roman" w:hAnsi="Times New Roman" w:cs="Times New Roman"/>
          <w:b/>
          <w:bCs/>
        </w:rPr>
        <w:t>do not have decision-making authority</w:t>
      </w:r>
      <w:r w:rsidRPr="00F11DF3">
        <w:rPr>
          <w:rFonts w:ascii="Times New Roman" w:hAnsi="Times New Roman" w:cs="Times New Roman"/>
        </w:rPr>
        <w:t xml:space="preserve"> unless authorized by statute</w:t>
      </w:r>
    </w:p>
    <w:p w14:paraId="4453EF8E"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6B4D831A">
          <v:rect id="_x0000_i1033" style="width:0;height:1.5pt" o:hralign="center" o:hrstd="t" o:hr="t" fillcolor="#a0a0a0" stroked="f"/>
        </w:pict>
      </w:r>
    </w:p>
    <w:p w14:paraId="631A00A3"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8. Meetings and Procedures</w:t>
      </w:r>
    </w:p>
    <w:p w14:paraId="77975630"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Meeting schedule established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Meetings comply with Open Meetings Law</w:t>
      </w:r>
      <w:r w:rsidRPr="00F11DF3">
        <w:rPr>
          <w:rFonts w:ascii="Times New Roman" w:hAnsi="Times New Roman" w:cs="Times New Roman"/>
        </w:rPr>
        <w:br/>
      </w:r>
      <w:r w:rsidRPr="00F11DF3">
        <w:rPr>
          <w:rFonts w:ascii="Segoe UI Symbol" w:hAnsi="Segoe UI Symbol" w:cs="Segoe UI Symbol"/>
        </w:rPr>
        <w:lastRenderedPageBreak/>
        <w:t>☐</w:t>
      </w:r>
      <w:r w:rsidRPr="00F11DF3">
        <w:rPr>
          <w:rFonts w:ascii="Times New Roman" w:hAnsi="Times New Roman" w:cs="Times New Roman"/>
        </w:rPr>
        <w:t xml:space="preserve"> Quorum requirements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Voting procedures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Agenda preparation procedures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Minutes recorded and maintained</w:t>
      </w:r>
    </w:p>
    <w:p w14:paraId="03D25BA3"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17AB62F3">
          <v:rect id="_x0000_i1034" style="width:0;height:1.5pt" o:hralign="center" o:hrstd="t" o:hr="t" fillcolor="#a0a0a0" stroked="f"/>
        </w:pict>
      </w:r>
    </w:p>
    <w:p w14:paraId="38123AC8"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9. Ethics and Conduct</w:t>
      </w:r>
    </w:p>
    <w:p w14:paraId="2E65D7D5"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Code of conduct for members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Conflict-of-interest disclosure procedures included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Members expected to act in the public interest</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Rules for professional conduct in meetings included</w:t>
      </w:r>
    </w:p>
    <w:p w14:paraId="1415E3AB"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24FFCA56">
          <v:rect id="_x0000_i1035" style="width:0;height:1.5pt" o:hralign="center" o:hrstd="t" o:hr="t" fillcolor="#a0a0a0" stroked="f"/>
        </w:pict>
      </w:r>
    </w:p>
    <w:p w14:paraId="26CBD012"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10. Attendance and Participation</w:t>
      </w:r>
    </w:p>
    <w:p w14:paraId="73F9F7CF"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Attendance expectations clearly stated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Thresholds for removal due to non-attendance defined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Participation expectations communicated to members</w:t>
      </w:r>
    </w:p>
    <w:p w14:paraId="57A4C605"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040218B7">
          <v:rect id="_x0000_i1036" style="width:0;height:1.5pt" o:hralign="center" o:hrstd="t" o:hr="t" fillcolor="#a0a0a0" stroked="f"/>
        </w:pict>
      </w:r>
    </w:p>
    <w:p w14:paraId="674D978A"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11. Reporting and Accountability</w:t>
      </w:r>
    </w:p>
    <w:p w14:paraId="26BB6E4A"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Advisory boards report recommendations to governing board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Annual or periodic reports encouraged or required</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Governing board periodically reviews advisory board effectiveness</w:t>
      </w:r>
    </w:p>
    <w:p w14:paraId="7F82C899"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5F7AE54B">
          <v:rect id="_x0000_i1037" style="width:0;height:1.5pt" o:hralign="center" o:hrstd="t" o:hr="t" fillcolor="#a0a0a0" stroked="f"/>
        </w:pict>
      </w:r>
    </w:p>
    <w:p w14:paraId="57568CDE"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12. Records and Transparency</w:t>
      </w:r>
    </w:p>
    <w:p w14:paraId="2E670115"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Meeting minutes retained as public records</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Advisory board communications subject to public records law</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Records retention schedule followed</w:t>
      </w:r>
    </w:p>
    <w:p w14:paraId="40A153B4" w14:textId="77777777" w:rsidR="00E301EC" w:rsidRPr="00F11DF3" w:rsidRDefault="001A4931" w:rsidP="00E301EC">
      <w:pPr>
        <w:rPr>
          <w:rFonts w:ascii="Times New Roman" w:hAnsi="Times New Roman" w:cs="Times New Roman"/>
        </w:rPr>
      </w:pPr>
      <w:r>
        <w:rPr>
          <w:rFonts w:ascii="Times New Roman" w:hAnsi="Times New Roman" w:cs="Times New Roman"/>
        </w:rPr>
        <w:pict w14:anchorId="08BB4CA9">
          <v:rect id="_x0000_i1038" style="width:0;height:1.5pt" o:hralign="center" o:hrstd="t" o:hr="t" fillcolor="#a0a0a0" stroked="f"/>
        </w:pict>
      </w:r>
    </w:p>
    <w:p w14:paraId="0814E867" w14:textId="77777777" w:rsidR="00E301EC" w:rsidRPr="00F11DF3" w:rsidRDefault="00E301EC" w:rsidP="00E301EC">
      <w:pPr>
        <w:rPr>
          <w:rFonts w:ascii="Times New Roman" w:hAnsi="Times New Roman" w:cs="Times New Roman"/>
          <w:b/>
          <w:bCs/>
        </w:rPr>
      </w:pPr>
      <w:r w:rsidRPr="00F11DF3">
        <w:rPr>
          <w:rFonts w:ascii="Times New Roman" w:hAnsi="Times New Roman" w:cs="Times New Roman"/>
          <w:b/>
          <w:bCs/>
        </w:rPr>
        <w:t>13. Policy Oversight and Review</w:t>
      </w:r>
    </w:p>
    <w:p w14:paraId="252459E3" w14:textId="77777777" w:rsidR="00E301EC" w:rsidRPr="00F11DF3" w:rsidRDefault="00E301EC" w:rsidP="00E301EC">
      <w:pPr>
        <w:rPr>
          <w:rFonts w:ascii="Times New Roman" w:hAnsi="Times New Roman" w:cs="Times New Roman"/>
        </w:rPr>
      </w:pPr>
      <w:r w:rsidRPr="00F11DF3">
        <w:rPr>
          <w:rFonts w:ascii="Segoe UI Symbol" w:hAnsi="Segoe UI Symbol" w:cs="Segoe UI Symbol"/>
        </w:rPr>
        <w:t>☐</w:t>
      </w:r>
      <w:r w:rsidRPr="00F11DF3">
        <w:rPr>
          <w:rFonts w:ascii="Times New Roman" w:hAnsi="Times New Roman" w:cs="Times New Roman"/>
        </w:rPr>
        <w:t xml:space="preserve"> Clerk’s office or designated staff administers policy</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Policy review occurs periodically (e.g., every 2–3 years)</w:t>
      </w:r>
      <w:r w:rsidRPr="00F11DF3">
        <w:rPr>
          <w:rFonts w:ascii="Times New Roman" w:hAnsi="Times New Roman" w:cs="Times New Roman"/>
        </w:rPr>
        <w:br/>
      </w:r>
      <w:r w:rsidRPr="00F11DF3">
        <w:rPr>
          <w:rFonts w:ascii="Segoe UI Symbol" w:hAnsi="Segoe UI Symbol" w:cs="Segoe UI Symbol"/>
        </w:rPr>
        <w:t>☐</w:t>
      </w:r>
      <w:r w:rsidRPr="00F11DF3">
        <w:rPr>
          <w:rFonts w:ascii="Times New Roman" w:hAnsi="Times New Roman" w:cs="Times New Roman"/>
        </w:rPr>
        <w:t xml:space="preserve"> Governing board retains authority to amend policy</w:t>
      </w:r>
    </w:p>
    <w:p w14:paraId="177107C3" w14:textId="764C5E2E" w:rsidR="00D70D86" w:rsidRDefault="00D70D86">
      <w:pPr>
        <w:rPr>
          <w:rFonts w:ascii="Times New Roman" w:hAnsi="Times New Roman" w:cs="Times New Roman"/>
          <w:b/>
          <w:bCs/>
        </w:rPr>
      </w:pPr>
      <w:r>
        <w:rPr>
          <w:rFonts w:ascii="Times New Roman" w:hAnsi="Times New Roman" w:cs="Times New Roman"/>
          <w:b/>
          <w:bCs/>
        </w:rPr>
        <w:lastRenderedPageBreak/>
        <w:t>This Checklist is a work in progress, as of August 17, 2026</w:t>
      </w:r>
    </w:p>
    <w:p w14:paraId="533A2854" w14:textId="277EE17E" w:rsidR="001145CA" w:rsidRDefault="00D70D86" w:rsidP="00D70D86">
      <w:pPr>
        <w:pStyle w:val="ListParagraph"/>
        <w:numPr>
          <w:ilvl w:val="0"/>
          <w:numId w:val="3"/>
        </w:numPr>
        <w:rPr>
          <w:rFonts w:ascii="Times New Roman" w:hAnsi="Times New Roman" w:cs="Times New Roman"/>
        </w:rPr>
      </w:pPr>
      <w:r w:rsidRPr="00D70D86">
        <w:rPr>
          <w:rFonts w:ascii="Times New Roman" w:hAnsi="Times New Roman" w:cs="Times New Roman"/>
        </w:rPr>
        <w:t>It is a s</w:t>
      </w:r>
      <w:r w:rsidR="00F11DF3" w:rsidRPr="00D70D86">
        <w:rPr>
          <w:rFonts w:ascii="Times New Roman" w:hAnsi="Times New Roman" w:cs="Times New Roman"/>
        </w:rPr>
        <w:t xml:space="preserve">ynthesis from </w:t>
      </w:r>
      <w:r w:rsidRPr="00D70D86">
        <w:rPr>
          <w:rFonts w:ascii="Times New Roman" w:hAnsi="Times New Roman" w:cs="Times New Roman"/>
        </w:rPr>
        <w:t xml:space="preserve">John </w:t>
      </w:r>
      <w:r w:rsidR="00F11DF3" w:rsidRPr="00D70D86">
        <w:rPr>
          <w:rFonts w:ascii="Times New Roman" w:hAnsi="Times New Roman" w:cs="Times New Roman"/>
        </w:rPr>
        <w:t>Stephens</w:t>
      </w:r>
      <w:r>
        <w:rPr>
          <w:rFonts w:ascii="Times New Roman" w:hAnsi="Times New Roman" w:cs="Times New Roman"/>
        </w:rPr>
        <w:t>’s March 2026</w:t>
      </w:r>
      <w:r w:rsidR="00F11DF3" w:rsidRPr="00D70D86">
        <w:rPr>
          <w:rFonts w:ascii="Times New Roman" w:hAnsi="Times New Roman" w:cs="Times New Roman"/>
        </w:rPr>
        <w:t xml:space="preserve"> select</w:t>
      </w:r>
      <w:r w:rsidRPr="00D70D86">
        <w:rPr>
          <w:rFonts w:ascii="Times New Roman" w:hAnsi="Times New Roman" w:cs="Times New Roman"/>
        </w:rPr>
        <w:t>ion</w:t>
      </w:r>
      <w:r w:rsidR="00F11DF3" w:rsidRPr="00D70D86">
        <w:rPr>
          <w:rFonts w:ascii="Times New Roman" w:hAnsi="Times New Roman" w:cs="Times New Roman"/>
        </w:rPr>
        <w:t xml:space="preserve"> “umbrella policies</w:t>
      </w:r>
      <w:r>
        <w:rPr>
          <w:rFonts w:ascii="Times New Roman" w:hAnsi="Times New Roman" w:cs="Times New Roman"/>
        </w:rPr>
        <w:t>.”</w:t>
      </w:r>
    </w:p>
    <w:p w14:paraId="49824C4B"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Chatham County Advisory Committee Policy (2025)</w:t>
      </w:r>
    </w:p>
    <w:p w14:paraId="26B5C8AB"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Town of Apex Resident Advisory Board Administrative Policy</w:t>
      </w:r>
    </w:p>
    <w:p w14:paraId="26DFFF6C"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Town of Carolina Beach Citizen Advisory Committee Policy (2021)</w:t>
      </w:r>
    </w:p>
    <w:p w14:paraId="7A5687A8"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Davie County Advisory Board Policy (2025)</w:t>
      </w:r>
    </w:p>
    <w:p w14:paraId="649F256D"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Town of Morrisville Appointed Public Bodies Administrative Policy (v12)</w:t>
      </w:r>
    </w:p>
    <w:p w14:paraId="486BA7EE" w14:textId="77777777" w:rsidR="00D70D86" w:rsidRPr="00F11DF3" w:rsidRDefault="00D70D86" w:rsidP="00D70D86">
      <w:pPr>
        <w:pStyle w:val="NoSpacing"/>
        <w:numPr>
          <w:ilvl w:val="0"/>
          <w:numId w:val="4"/>
        </w:numPr>
        <w:rPr>
          <w:rFonts w:ascii="Times New Roman" w:hAnsi="Times New Roman" w:cs="Times New Roman"/>
        </w:rPr>
      </w:pPr>
      <w:r w:rsidRPr="00F11DF3">
        <w:rPr>
          <w:rFonts w:ascii="Times New Roman" w:hAnsi="Times New Roman" w:cs="Times New Roman"/>
        </w:rPr>
        <w:t>Town of Pittsboro Advisory Body Policy Draft (2026)</w:t>
      </w:r>
    </w:p>
    <w:p w14:paraId="73095EAF" w14:textId="77777777" w:rsidR="00D70D86" w:rsidRPr="00D70D86" w:rsidRDefault="00D70D86" w:rsidP="00D70D86">
      <w:pPr>
        <w:pStyle w:val="ListParagraph"/>
        <w:rPr>
          <w:rFonts w:ascii="Times New Roman" w:hAnsi="Times New Roman" w:cs="Times New Roman"/>
        </w:rPr>
      </w:pPr>
    </w:p>
    <w:p w14:paraId="18C057E1" w14:textId="12FA937B" w:rsidR="00D70D86" w:rsidRPr="00D70D86" w:rsidRDefault="00D70D86" w:rsidP="00D70D86">
      <w:pPr>
        <w:pStyle w:val="ListParagraph"/>
        <w:numPr>
          <w:ilvl w:val="0"/>
          <w:numId w:val="3"/>
        </w:numPr>
        <w:rPr>
          <w:rFonts w:ascii="Times New Roman" w:hAnsi="Times New Roman" w:cs="Times New Roman"/>
        </w:rPr>
      </w:pPr>
      <w:r w:rsidRPr="00D70D86">
        <w:rPr>
          <w:rFonts w:ascii="Times New Roman" w:hAnsi="Times New Roman" w:cs="Times New Roman"/>
        </w:rPr>
        <w:t>Stephens and Rick Morse welcome additions from NC cities and counties so we can update this checklist. We plan on gathering more policies in Fall 2026 and Winter 2027.  (JB Stephens – August 17, 2026)</w:t>
      </w:r>
    </w:p>
    <w:p w14:paraId="4B6EF867" w14:textId="77777777" w:rsidR="00F11DF3" w:rsidRPr="00F11DF3" w:rsidRDefault="00F11DF3">
      <w:pPr>
        <w:rPr>
          <w:rFonts w:ascii="Times New Roman" w:hAnsi="Times New Roman" w:cs="Times New Roman"/>
        </w:rPr>
      </w:pPr>
    </w:p>
    <w:sectPr w:rsidR="00F11DF3" w:rsidRPr="00F11D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7095" w14:textId="77777777" w:rsidR="001A4931" w:rsidRDefault="001A4931" w:rsidP="00F16285">
      <w:pPr>
        <w:spacing w:after="0" w:line="240" w:lineRule="auto"/>
      </w:pPr>
      <w:r>
        <w:separator/>
      </w:r>
    </w:p>
  </w:endnote>
  <w:endnote w:type="continuationSeparator" w:id="0">
    <w:p w14:paraId="036E861F" w14:textId="77777777" w:rsidR="001A4931" w:rsidRDefault="001A4931" w:rsidP="00F1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24B6" w14:textId="77777777" w:rsidR="00D70D86" w:rsidRDefault="00D70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255251"/>
      <w:docPartObj>
        <w:docPartGallery w:val="Page Numbers (Bottom of Page)"/>
        <w:docPartUnique/>
      </w:docPartObj>
    </w:sdtPr>
    <w:sdtEndPr>
      <w:rPr>
        <w:noProof/>
      </w:rPr>
    </w:sdtEndPr>
    <w:sdtContent>
      <w:p w14:paraId="7DA5DE99" w14:textId="2C4ACDEB" w:rsidR="00F11DF3" w:rsidRDefault="00F11D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A53032" w14:textId="77777777" w:rsidR="00F11DF3" w:rsidRDefault="00F11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7904" w14:textId="77777777" w:rsidR="00D70D86" w:rsidRDefault="00D70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994C" w14:textId="77777777" w:rsidR="001A4931" w:rsidRDefault="001A4931" w:rsidP="00F16285">
      <w:pPr>
        <w:spacing w:after="0" w:line="240" w:lineRule="auto"/>
      </w:pPr>
      <w:r>
        <w:separator/>
      </w:r>
    </w:p>
  </w:footnote>
  <w:footnote w:type="continuationSeparator" w:id="0">
    <w:p w14:paraId="758828AA" w14:textId="77777777" w:rsidR="001A4931" w:rsidRDefault="001A4931" w:rsidP="00F16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0143" w14:textId="77777777" w:rsidR="00D70D86" w:rsidRDefault="00D7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3284" w14:textId="327E7C94" w:rsidR="00F16285" w:rsidRPr="00F11DF3" w:rsidRDefault="00F16285" w:rsidP="00F16285">
    <w:pPr>
      <w:rPr>
        <w:sz w:val="20"/>
        <w:szCs w:val="20"/>
      </w:rPr>
    </w:pPr>
    <w:r w:rsidRPr="00F11DF3">
      <w:rPr>
        <w:sz w:val="20"/>
        <w:szCs w:val="20"/>
      </w:rPr>
      <w:t xml:space="preserve">Advisory Board Governance Checklist – </w:t>
    </w:r>
    <w:r w:rsidR="00D70D86">
      <w:rPr>
        <w:sz w:val="20"/>
        <w:szCs w:val="20"/>
      </w:rPr>
      <w:t>August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7667" w14:textId="77777777" w:rsidR="00D70D86" w:rsidRDefault="00D70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3C8245B"/>
    <w:multiLevelType w:val="multilevel"/>
    <w:tmpl w:val="D0C2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B30F4"/>
    <w:multiLevelType w:val="hybridMultilevel"/>
    <w:tmpl w:val="83C6B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C28A5"/>
    <w:multiLevelType w:val="hybridMultilevel"/>
    <w:tmpl w:val="5602F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641A01"/>
    <w:multiLevelType w:val="hybridMultilevel"/>
    <w:tmpl w:val="5204D44A"/>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82752128">
    <w:abstractNumId w:val="0"/>
  </w:num>
  <w:num w:numId="2" w16cid:durableId="87115461">
    <w:abstractNumId w:val="1"/>
  </w:num>
  <w:num w:numId="3" w16cid:durableId="85612694">
    <w:abstractNumId w:val="2"/>
  </w:num>
  <w:num w:numId="4" w16cid:durableId="1619294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85"/>
    <w:rsid w:val="001145CA"/>
    <w:rsid w:val="001A4931"/>
    <w:rsid w:val="002D1A13"/>
    <w:rsid w:val="00361575"/>
    <w:rsid w:val="003B3FDE"/>
    <w:rsid w:val="00550450"/>
    <w:rsid w:val="0079704E"/>
    <w:rsid w:val="00884053"/>
    <w:rsid w:val="009542BD"/>
    <w:rsid w:val="00D67CDD"/>
    <w:rsid w:val="00D70D86"/>
    <w:rsid w:val="00DB2C09"/>
    <w:rsid w:val="00E06DBB"/>
    <w:rsid w:val="00E301EC"/>
    <w:rsid w:val="00F11DF3"/>
    <w:rsid w:val="00F1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9388"/>
  <w15:chartTrackingRefBased/>
  <w15:docId w15:val="{2B82196D-BE20-4BFF-B5ED-AE1508C7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285"/>
    <w:rPr>
      <w:rFonts w:eastAsiaTheme="majorEastAsia" w:cstheme="majorBidi"/>
      <w:color w:val="272727" w:themeColor="text1" w:themeTint="D8"/>
    </w:rPr>
  </w:style>
  <w:style w:type="paragraph" w:styleId="Title">
    <w:name w:val="Title"/>
    <w:basedOn w:val="Normal"/>
    <w:next w:val="Normal"/>
    <w:link w:val="TitleChar"/>
    <w:uiPriority w:val="10"/>
    <w:qFormat/>
    <w:rsid w:val="00F16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2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285"/>
    <w:pPr>
      <w:spacing w:before="160"/>
      <w:jc w:val="center"/>
    </w:pPr>
    <w:rPr>
      <w:i/>
      <w:iCs/>
      <w:color w:val="404040" w:themeColor="text1" w:themeTint="BF"/>
    </w:rPr>
  </w:style>
  <w:style w:type="character" w:customStyle="1" w:styleId="QuoteChar">
    <w:name w:val="Quote Char"/>
    <w:basedOn w:val="DefaultParagraphFont"/>
    <w:link w:val="Quote"/>
    <w:uiPriority w:val="29"/>
    <w:rsid w:val="00F16285"/>
    <w:rPr>
      <w:i/>
      <w:iCs/>
      <w:color w:val="404040" w:themeColor="text1" w:themeTint="BF"/>
    </w:rPr>
  </w:style>
  <w:style w:type="paragraph" w:styleId="ListParagraph">
    <w:name w:val="List Paragraph"/>
    <w:basedOn w:val="Normal"/>
    <w:uiPriority w:val="34"/>
    <w:qFormat/>
    <w:rsid w:val="00F16285"/>
    <w:pPr>
      <w:ind w:left="720"/>
      <w:contextualSpacing/>
    </w:pPr>
  </w:style>
  <w:style w:type="character" w:styleId="IntenseEmphasis">
    <w:name w:val="Intense Emphasis"/>
    <w:basedOn w:val="DefaultParagraphFont"/>
    <w:uiPriority w:val="21"/>
    <w:qFormat/>
    <w:rsid w:val="00F16285"/>
    <w:rPr>
      <w:i/>
      <w:iCs/>
      <w:color w:val="0F4761" w:themeColor="accent1" w:themeShade="BF"/>
    </w:rPr>
  </w:style>
  <w:style w:type="paragraph" w:styleId="IntenseQuote">
    <w:name w:val="Intense Quote"/>
    <w:basedOn w:val="Normal"/>
    <w:next w:val="Normal"/>
    <w:link w:val="IntenseQuoteChar"/>
    <w:uiPriority w:val="30"/>
    <w:qFormat/>
    <w:rsid w:val="00F16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285"/>
    <w:rPr>
      <w:i/>
      <w:iCs/>
      <w:color w:val="0F4761" w:themeColor="accent1" w:themeShade="BF"/>
    </w:rPr>
  </w:style>
  <w:style w:type="character" w:styleId="IntenseReference">
    <w:name w:val="Intense Reference"/>
    <w:basedOn w:val="DefaultParagraphFont"/>
    <w:uiPriority w:val="32"/>
    <w:qFormat/>
    <w:rsid w:val="00F16285"/>
    <w:rPr>
      <w:b/>
      <w:bCs/>
      <w:smallCaps/>
      <w:color w:val="0F4761" w:themeColor="accent1" w:themeShade="BF"/>
      <w:spacing w:val="5"/>
    </w:rPr>
  </w:style>
  <w:style w:type="paragraph" w:styleId="Header">
    <w:name w:val="header"/>
    <w:basedOn w:val="Normal"/>
    <w:link w:val="HeaderChar"/>
    <w:uiPriority w:val="99"/>
    <w:unhideWhenUsed/>
    <w:rsid w:val="00F16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285"/>
  </w:style>
  <w:style w:type="paragraph" w:styleId="Footer">
    <w:name w:val="footer"/>
    <w:basedOn w:val="Normal"/>
    <w:link w:val="FooterChar"/>
    <w:uiPriority w:val="99"/>
    <w:unhideWhenUsed/>
    <w:rsid w:val="00F16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285"/>
  </w:style>
  <w:style w:type="paragraph" w:styleId="NoSpacing">
    <w:name w:val="No Spacing"/>
    <w:uiPriority w:val="1"/>
    <w:qFormat/>
    <w:rsid w:val="00F11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John B</dc:creator>
  <cp:keywords/>
  <dc:description/>
  <cp:lastModifiedBy>Stephens, John B</cp:lastModifiedBy>
  <cp:revision>2</cp:revision>
  <dcterms:created xsi:type="dcterms:W3CDTF">2026-08-17T20:02:00Z</dcterms:created>
  <dcterms:modified xsi:type="dcterms:W3CDTF">2026-08-17T20:02:00Z</dcterms:modified>
</cp:coreProperties>
</file>