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6F572" w14:textId="77777777" w:rsidR="00346241" w:rsidRDefault="00346241" w:rsidP="00346241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691C57">
        <w:rPr>
          <w:rFonts w:ascii="Times New Roman" w:hAnsi="Times New Roman" w:cs="Times New Roman"/>
          <w:b/>
          <w:bCs/>
          <w:sz w:val="32"/>
          <w:szCs w:val="32"/>
        </w:rPr>
        <w:t xml:space="preserve">Review of Six </w:t>
      </w:r>
      <w:r>
        <w:rPr>
          <w:rFonts w:ascii="Times New Roman" w:hAnsi="Times New Roman" w:cs="Times New Roman"/>
          <w:b/>
          <w:bCs/>
          <w:sz w:val="32"/>
          <w:szCs w:val="32"/>
        </w:rPr>
        <w:t>CAB P</w:t>
      </w:r>
      <w:r w:rsidRPr="00691C57">
        <w:rPr>
          <w:rFonts w:ascii="Times New Roman" w:hAnsi="Times New Roman" w:cs="Times New Roman"/>
          <w:b/>
          <w:bCs/>
          <w:sz w:val="32"/>
          <w:szCs w:val="32"/>
        </w:rPr>
        <w:t>olicies</w:t>
      </w:r>
    </w:p>
    <w:p w14:paraId="72C2E336" w14:textId="77777777" w:rsidR="00346241" w:rsidRDefault="00346241" w:rsidP="00346241">
      <w:r>
        <w:t>ChatGPT – March 5, 2026</w:t>
      </w:r>
    </w:p>
    <w:p w14:paraId="399395CA" w14:textId="77777777" w:rsidR="00346241" w:rsidRPr="00691C57" w:rsidRDefault="00346241" w:rsidP="0034624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1C57">
        <w:rPr>
          <w:rFonts w:ascii="Times New Roman" w:hAnsi="Times New Roman" w:cs="Times New Roman"/>
          <w:sz w:val="28"/>
          <w:szCs w:val="28"/>
        </w:rPr>
        <w:t>Chatham County Advisory Committee Policy (2025)</w:t>
      </w:r>
    </w:p>
    <w:p w14:paraId="6DE633EE" w14:textId="77777777" w:rsidR="00346241" w:rsidRPr="00691C57" w:rsidRDefault="00346241" w:rsidP="0034624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1C57">
        <w:rPr>
          <w:rFonts w:ascii="Times New Roman" w:hAnsi="Times New Roman" w:cs="Times New Roman"/>
          <w:sz w:val="28"/>
          <w:szCs w:val="28"/>
        </w:rPr>
        <w:t>Town of Apex Resident Advisory Board Administrative Policy</w:t>
      </w:r>
    </w:p>
    <w:p w14:paraId="33633197" w14:textId="77777777" w:rsidR="00346241" w:rsidRPr="00691C57" w:rsidRDefault="00346241" w:rsidP="0034624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1C57">
        <w:rPr>
          <w:rFonts w:ascii="Times New Roman" w:hAnsi="Times New Roman" w:cs="Times New Roman"/>
          <w:sz w:val="28"/>
          <w:szCs w:val="28"/>
        </w:rPr>
        <w:t>Town of Carolina Beach Citizen Advisory Committee Policy (2021)</w:t>
      </w:r>
    </w:p>
    <w:p w14:paraId="7F7238B5" w14:textId="77777777" w:rsidR="00346241" w:rsidRPr="00691C57" w:rsidRDefault="00346241" w:rsidP="0034624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1C57">
        <w:rPr>
          <w:rFonts w:ascii="Times New Roman" w:hAnsi="Times New Roman" w:cs="Times New Roman"/>
          <w:sz w:val="28"/>
          <w:szCs w:val="28"/>
        </w:rPr>
        <w:t>Davie County Advisory Board Policy (2025)</w:t>
      </w:r>
    </w:p>
    <w:p w14:paraId="5BF66333" w14:textId="77777777" w:rsidR="00346241" w:rsidRPr="00691C57" w:rsidRDefault="00346241" w:rsidP="0034624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1C57">
        <w:rPr>
          <w:rFonts w:ascii="Times New Roman" w:hAnsi="Times New Roman" w:cs="Times New Roman"/>
          <w:sz w:val="28"/>
          <w:szCs w:val="28"/>
        </w:rPr>
        <w:t>Town of Morrisville Appointed Public Bodies Administrative Policy (v12)</w:t>
      </w:r>
    </w:p>
    <w:p w14:paraId="164887A7" w14:textId="77777777" w:rsidR="00346241" w:rsidRPr="00691C57" w:rsidRDefault="00346241" w:rsidP="0034624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1C57">
        <w:rPr>
          <w:rFonts w:ascii="Times New Roman" w:hAnsi="Times New Roman" w:cs="Times New Roman"/>
          <w:sz w:val="28"/>
          <w:szCs w:val="28"/>
        </w:rPr>
        <w:t>Town of Pittsboro Advisory Body Policy Draft (2026)</w:t>
      </w:r>
    </w:p>
    <w:p w14:paraId="7788C943" w14:textId="77777777" w:rsidR="00346241" w:rsidRPr="00691C57" w:rsidRDefault="00346241" w:rsidP="00346241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59E0700" w14:textId="77777777" w:rsidR="00346241" w:rsidRPr="00691C57" w:rsidRDefault="00346241" w:rsidP="00346241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691C57">
        <w:rPr>
          <w:rFonts w:ascii="Times New Roman" w:hAnsi="Times New Roman" w:cs="Times New Roman"/>
          <w:b/>
          <w:bCs/>
          <w:sz w:val="32"/>
          <w:szCs w:val="32"/>
        </w:rPr>
        <w:t>Structural Pattern Across the Policies</w:t>
      </w:r>
    </w:p>
    <w:p w14:paraId="2A7F67FD" w14:textId="77777777" w:rsidR="00346241" w:rsidRPr="00691C57" w:rsidRDefault="00346241" w:rsidP="00346241">
      <w:pPr>
        <w:rPr>
          <w:rFonts w:ascii="Times New Roman" w:hAnsi="Times New Roman" w:cs="Times New Roman"/>
          <w:sz w:val="32"/>
          <w:szCs w:val="32"/>
        </w:rPr>
      </w:pPr>
      <w:r w:rsidRPr="00691C57">
        <w:rPr>
          <w:rFonts w:ascii="Times New Roman" w:hAnsi="Times New Roman" w:cs="Times New Roman"/>
          <w:sz w:val="32"/>
          <w:szCs w:val="32"/>
        </w:rPr>
        <w:t xml:space="preserve">Across the six policies, the documents generally follow this </w:t>
      </w:r>
      <w:r w:rsidRPr="00691C57">
        <w:rPr>
          <w:rFonts w:ascii="Times New Roman" w:hAnsi="Times New Roman" w:cs="Times New Roman"/>
          <w:b/>
          <w:bCs/>
          <w:sz w:val="32"/>
          <w:szCs w:val="32"/>
        </w:rPr>
        <w:t>common policy architecture</w:t>
      </w:r>
      <w:r w:rsidRPr="00691C57">
        <w:rPr>
          <w:rFonts w:ascii="Times New Roman" w:hAnsi="Times New Roman" w:cs="Times New Roman"/>
          <w:sz w:val="32"/>
          <w:szCs w:val="32"/>
        </w:rPr>
        <w:t>:</w:t>
      </w:r>
    </w:p>
    <w:p w14:paraId="74C51858" w14:textId="77777777" w:rsidR="00346241" w:rsidRPr="00691C57" w:rsidRDefault="00346241" w:rsidP="00346241">
      <w:pPr>
        <w:rPr>
          <w:rFonts w:ascii="Times New Roman" w:hAnsi="Times New Roman" w:cs="Times New Roman"/>
          <w:sz w:val="32"/>
          <w:szCs w:val="32"/>
        </w:rPr>
      </w:pPr>
      <w:r w:rsidRPr="00691C57">
        <w:rPr>
          <w:rFonts w:ascii="Times New Roman" w:hAnsi="Times New Roman" w:cs="Times New Roman"/>
          <w:b/>
          <w:bCs/>
          <w:sz w:val="32"/>
          <w:szCs w:val="32"/>
        </w:rPr>
        <w:t>Core governance sections</w:t>
      </w:r>
    </w:p>
    <w:p w14:paraId="4843D417" w14:textId="77777777" w:rsidR="00346241" w:rsidRPr="00691C57" w:rsidRDefault="00346241" w:rsidP="0034624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691C57">
        <w:rPr>
          <w:rFonts w:ascii="Times New Roman" w:hAnsi="Times New Roman" w:cs="Times New Roman"/>
          <w:sz w:val="32"/>
          <w:szCs w:val="32"/>
        </w:rPr>
        <w:t>Purpose</w:t>
      </w:r>
    </w:p>
    <w:p w14:paraId="6D2C5463" w14:textId="77777777" w:rsidR="00346241" w:rsidRPr="00691C57" w:rsidRDefault="00346241" w:rsidP="0034624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691C57">
        <w:rPr>
          <w:rFonts w:ascii="Times New Roman" w:hAnsi="Times New Roman" w:cs="Times New Roman"/>
          <w:sz w:val="32"/>
          <w:szCs w:val="32"/>
        </w:rPr>
        <w:t>Legal authority</w:t>
      </w:r>
    </w:p>
    <w:p w14:paraId="58AE5898" w14:textId="77777777" w:rsidR="00346241" w:rsidRPr="00691C57" w:rsidRDefault="00346241" w:rsidP="0034624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691C57">
        <w:rPr>
          <w:rFonts w:ascii="Times New Roman" w:hAnsi="Times New Roman" w:cs="Times New Roman"/>
          <w:sz w:val="32"/>
          <w:szCs w:val="32"/>
        </w:rPr>
        <w:t>Creation of advisory boards</w:t>
      </w:r>
    </w:p>
    <w:p w14:paraId="33899829" w14:textId="77777777" w:rsidR="00346241" w:rsidRPr="00691C57" w:rsidRDefault="00346241" w:rsidP="0034624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691C57">
        <w:rPr>
          <w:rFonts w:ascii="Times New Roman" w:hAnsi="Times New Roman" w:cs="Times New Roman"/>
          <w:sz w:val="32"/>
          <w:szCs w:val="32"/>
        </w:rPr>
        <w:t>Membership and eligibility</w:t>
      </w:r>
    </w:p>
    <w:p w14:paraId="409F27AC" w14:textId="77777777" w:rsidR="00346241" w:rsidRPr="00691C57" w:rsidRDefault="00346241" w:rsidP="0034624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691C57">
        <w:rPr>
          <w:rFonts w:ascii="Times New Roman" w:hAnsi="Times New Roman" w:cs="Times New Roman"/>
          <w:sz w:val="32"/>
          <w:szCs w:val="32"/>
        </w:rPr>
        <w:t>Appointment process</w:t>
      </w:r>
    </w:p>
    <w:p w14:paraId="34C1D5F7" w14:textId="77777777" w:rsidR="00346241" w:rsidRPr="00691C57" w:rsidRDefault="00346241" w:rsidP="0034624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691C57">
        <w:rPr>
          <w:rFonts w:ascii="Times New Roman" w:hAnsi="Times New Roman" w:cs="Times New Roman"/>
          <w:sz w:val="32"/>
          <w:szCs w:val="32"/>
        </w:rPr>
        <w:t>Terms and reappointment</w:t>
      </w:r>
    </w:p>
    <w:p w14:paraId="0B3A2E77" w14:textId="77777777" w:rsidR="00346241" w:rsidRDefault="00346241" w:rsidP="00346241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2153484" w14:textId="77777777" w:rsidR="00346241" w:rsidRPr="00691C57" w:rsidRDefault="00346241" w:rsidP="00346241">
      <w:pPr>
        <w:rPr>
          <w:rFonts w:ascii="Times New Roman" w:hAnsi="Times New Roman" w:cs="Times New Roman"/>
          <w:sz w:val="32"/>
          <w:szCs w:val="32"/>
        </w:rPr>
      </w:pPr>
      <w:r w:rsidRPr="00691C57">
        <w:rPr>
          <w:rFonts w:ascii="Times New Roman" w:hAnsi="Times New Roman" w:cs="Times New Roman"/>
          <w:b/>
          <w:bCs/>
          <w:sz w:val="32"/>
          <w:szCs w:val="32"/>
        </w:rPr>
        <w:t>Operational sections</w:t>
      </w:r>
      <w:r w:rsidRPr="00691C57">
        <w:rPr>
          <w:rFonts w:ascii="Times New Roman" w:hAnsi="Times New Roman" w:cs="Times New Roman"/>
          <w:sz w:val="32"/>
          <w:szCs w:val="32"/>
        </w:rPr>
        <w:br/>
        <w:t>7. Roles and responsibilities</w:t>
      </w:r>
      <w:r w:rsidRPr="00691C57">
        <w:rPr>
          <w:rFonts w:ascii="Times New Roman" w:hAnsi="Times New Roman" w:cs="Times New Roman"/>
          <w:sz w:val="32"/>
          <w:szCs w:val="32"/>
        </w:rPr>
        <w:br/>
        <w:t>8. Meetings and procedures</w:t>
      </w:r>
    </w:p>
    <w:p w14:paraId="128C8904" w14:textId="77777777" w:rsidR="00346241" w:rsidRPr="00691C57" w:rsidRDefault="00346241" w:rsidP="00346241">
      <w:pPr>
        <w:rPr>
          <w:rFonts w:ascii="Times New Roman" w:hAnsi="Times New Roman" w:cs="Times New Roman"/>
          <w:sz w:val="32"/>
          <w:szCs w:val="32"/>
        </w:rPr>
      </w:pPr>
      <w:r w:rsidRPr="00691C57">
        <w:rPr>
          <w:rFonts w:ascii="Times New Roman" w:hAnsi="Times New Roman" w:cs="Times New Roman"/>
          <w:b/>
          <w:bCs/>
          <w:sz w:val="32"/>
          <w:szCs w:val="32"/>
        </w:rPr>
        <w:t>Accountability sections</w:t>
      </w:r>
      <w:r w:rsidRPr="00691C57">
        <w:rPr>
          <w:rFonts w:ascii="Times New Roman" w:hAnsi="Times New Roman" w:cs="Times New Roman"/>
          <w:sz w:val="32"/>
          <w:szCs w:val="32"/>
        </w:rPr>
        <w:br/>
        <w:t>9. Ethics and conduct</w:t>
      </w:r>
      <w:r w:rsidRPr="00691C57">
        <w:rPr>
          <w:rFonts w:ascii="Times New Roman" w:hAnsi="Times New Roman" w:cs="Times New Roman"/>
          <w:sz w:val="32"/>
          <w:szCs w:val="32"/>
        </w:rPr>
        <w:br/>
        <w:t>10. Vacancies, removal, and attendance</w:t>
      </w:r>
      <w:r w:rsidRPr="00691C57">
        <w:rPr>
          <w:rFonts w:ascii="Times New Roman" w:hAnsi="Times New Roman" w:cs="Times New Roman"/>
          <w:sz w:val="32"/>
          <w:szCs w:val="32"/>
        </w:rPr>
        <w:br/>
        <w:t>11. Reporting and compliance</w:t>
      </w:r>
    </w:p>
    <w:p w14:paraId="3837B059" w14:textId="77777777" w:rsidR="001145CA" w:rsidRDefault="001145CA"/>
    <w:sectPr w:rsidR="001145CA" w:rsidSect="003462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36B4D" w14:textId="77777777" w:rsidR="005A2D46" w:rsidRDefault="005A2D46" w:rsidP="00346241">
      <w:pPr>
        <w:spacing w:after="0" w:line="240" w:lineRule="auto"/>
      </w:pPr>
      <w:r>
        <w:separator/>
      </w:r>
    </w:p>
  </w:endnote>
  <w:endnote w:type="continuationSeparator" w:id="0">
    <w:p w14:paraId="17DDD816" w14:textId="77777777" w:rsidR="005A2D46" w:rsidRDefault="005A2D46" w:rsidP="00346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7E364" w14:textId="77777777" w:rsidR="00346241" w:rsidRDefault="003462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3006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2F27F4" w14:textId="77777777" w:rsidR="00346241" w:rsidRDefault="0034624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1CA1C4" w14:textId="77777777" w:rsidR="00346241" w:rsidRDefault="0034624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77D20" w14:textId="77777777" w:rsidR="00346241" w:rsidRDefault="003462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C4109" w14:textId="77777777" w:rsidR="005A2D46" w:rsidRDefault="005A2D46" w:rsidP="00346241">
      <w:pPr>
        <w:spacing w:after="0" w:line="240" w:lineRule="auto"/>
      </w:pPr>
      <w:r>
        <w:separator/>
      </w:r>
    </w:p>
  </w:footnote>
  <w:footnote w:type="continuationSeparator" w:id="0">
    <w:p w14:paraId="2315E8CC" w14:textId="77777777" w:rsidR="005A2D46" w:rsidRDefault="005A2D46" w:rsidP="00346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2930A" w14:textId="77777777" w:rsidR="00346241" w:rsidRDefault="003462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4E948" w14:textId="5F3FBEEB" w:rsidR="00346241" w:rsidRPr="00346241" w:rsidRDefault="00346241" w:rsidP="00AB72F7">
    <w:pPr>
      <w:rPr>
        <w:rFonts w:ascii="Times New Roman" w:hAnsi="Times New Roman" w:cs="Times New Roman"/>
        <w:sz w:val="20"/>
        <w:szCs w:val="20"/>
      </w:rPr>
    </w:pPr>
    <w:r w:rsidRPr="00346241">
      <w:rPr>
        <w:rFonts w:ascii="Times New Roman" w:hAnsi="Times New Roman" w:cs="Times New Roman"/>
        <w:sz w:val="20"/>
        <w:szCs w:val="20"/>
      </w:rPr>
      <w:t xml:space="preserve">ChatGPT – Common Elements of CAB Umbrella Policies – </w:t>
    </w:r>
    <w:r w:rsidRPr="00346241">
      <w:rPr>
        <w:rFonts w:ascii="Times New Roman" w:hAnsi="Times New Roman" w:cs="Times New Roman"/>
        <w:sz w:val="20"/>
        <w:szCs w:val="20"/>
      </w:rPr>
      <w:t>Summary-6j</w:t>
    </w:r>
    <w:r w:rsidRPr="00346241">
      <w:rPr>
        <w:rFonts w:ascii="Times New Roman" w:hAnsi="Times New Roman" w:cs="Times New Roman"/>
        <w:sz w:val="20"/>
        <w:szCs w:val="20"/>
      </w:rPr>
      <w:t>jurisdictions</w:t>
    </w:r>
    <w:r w:rsidRPr="00346241">
      <w:rPr>
        <w:rFonts w:ascii="Times New Roman" w:hAnsi="Times New Roman" w:cs="Times New Roman"/>
        <w:sz w:val="20"/>
        <w:szCs w:val="20"/>
      </w:rPr>
      <w:t>-March 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66198" w14:textId="77777777" w:rsidR="00346241" w:rsidRDefault="003462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E7605"/>
    <w:multiLevelType w:val="hybridMultilevel"/>
    <w:tmpl w:val="C57A5B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9B30F4"/>
    <w:multiLevelType w:val="hybridMultilevel"/>
    <w:tmpl w:val="83C6B5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115461">
    <w:abstractNumId w:val="1"/>
  </w:num>
  <w:num w:numId="2" w16cid:durableId="10187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241"/>
    <w:rsid w:val="001145CA"/>
    <w:rsid w:val="00346241"/>
    <w:rsid w:val="00361575"/>
    <w:rsid w:val="00550450"/>
    <w:rsid w:val="005A2D46"/>
    <w:rsid w:val="00D6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B746F4"/>
  <w15:chartTrackingRefBased/>
  <w15:docId w15:val="{7F91D73A-DB4F-4F07-ACB1-2919F73AA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241"/>
  </w:style>
  <w:style w:type="paragraph" w:styleId="Heading1">
    <w:name w:val="heading 1"/>
    <w:basedOn w:val="Normal"/>
    <w:next w:val="Normal"/>
    <w:link w:val="Heading1Char"/>
    <w:uiPriority w:val="9"/>
    <w:qFormat/>
    <w:rsid w:val="003462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62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62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62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62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62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62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62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62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62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62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62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62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62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62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62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62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62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62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62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62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62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62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62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62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62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2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2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624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62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6241"/>
  </w:style>
  <w:style w:type="paragraph" w:styleId="Footer">
    <w:name w:val="footer"/>
    <w:basedOn w:val="Normal"/>
    <w:link w:val="FooterChar"/>
    <w:uiPriority w:val="99"/>
    <w:unhideWhenUsed/>
    <w:rsid w:val="003462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6241"/>
  </w:style>
  <w:style w:type="paragraph" w:styleId="NoSpacing">
    <w:name w:val="No Spacing"/>
    <w:uiPriority w:val="1"/>
    <w:qFormat/>
    <w:rsid w:val="003462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Stephens, John B</dc:creator>
  <cp:keywords/>
  <dc:description/>
  <cp:lastModifiedBy>Stephens, John B</cp:lastModifiedBy>
  <cp:revision>1</cp:revision>
  <dcterms:created xsi:type="dcterms:W3CDTF">2026-08-17T19:54:00Z</dcterms:created>
  <dcterms:modified xsi:type="dcterms:W3CDTF">2026-08-17T19:56:00Z</dcterms:modified>
</cp:coreProperties>
</file>