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5CDC9" w14:textId="7EEA0086" w:rsidR="00245412" w:rsidRPr="001A365C" w:rsidRDefault="00245412" w:rsidP="00517D3F">
      <w:pPr>
        <w:spacing w:after="0" w:line="240" w:lineRule="auto"/>
        <w:jc w:val="center"/>
        <w:rPr>
          <w:b/>
          <w:bCs/>
          <w:sz w:val="48"/>
          <w:szCs w:val="48"/>
        </w:rPr>
      </w:pPr>
      <w:r w:rsidRPr="001A365C">
        <w:rPr>
          <w:b/>
          <w:bCs/>
          <w:sz w:val="48"/>
          <w:szCs w:val="48"/>
        </w:rPr>
        <w:t>GASB 101 Compensated Absences</w:t>
      </w:r>
    </w:p>
    <w:p w14:paraId="1F4D6222" w14:textId="25B5F18A" w:rsidR="00245412" w:rsidRPr="00C40214" w:rsidRDefault="003E2AB6" w:rsidP="003E2AB6">
      <w:pPr>
        <w:spacing w:after="0"/>
        <w:jc w:val="center"/>
        <w:rPr>
          <w:sz w:val="20"/>
          <w:szCs w:val="20"/>
        </w:rPr>
      </w:pPr>
      <w:r w:rsidRPr="00C40214">
        <w:rPr>
          <w:sz w:val="20"/>
          <w:szCs w:val="20"/>
        </w:rPr>
        <w:t>jbarfield@guilfordcountync.gov</w:t>
      </w:r>
    </w:p>
    <w:p w14:paraId="7B241F52" w14:textId="39811BCC" w:rsidR="00394D21" w:rsidRPr="006F5929" w:rsidRDefault="00394D21" w:rsidP="005B3579">
      <w:pPr>
        <w:pStyle w:val="ListParagraph"/>
        <w:spacing w:after="0"/>
        <w:ind w:left="360"/>
        <w:rPr>
          <w:b/>
          <w:bCs/>
        </w:rPr>
      </w:pPr>
      <w:r w:rsidRPr="00532125">
        <w:rPr>
          <w:b/>
          <w:bCs/>
          <w:highlight w:val="green"/>
        </w:rPr>
        <w:t>LIFO vs FIFO Flow Assumptions</w:t>
      </w:r>
    </w:p>
    <w:p w14:paraId="7FF321F4" w14:textId="376E6B51" w:rsidR="00394D21" w:rsidRDefault="00394D21" w:rsidP="005B3579">
      <w:pPr>
        <w:pStyle w:val="ListParagraph"/>
        <w:numPr>
          <w:ilvl w:val="0"/>
          <w:numId w:val="1"/>
        </w:numPr>
        <w:spacing w:after="0"/>
        <w:ind w:left="360"/>
      </w:pPr>
      <w:r>
        <w:t xml:space="preserve">The LIFO assumption for compensated absences has been in place in North Carolina state government for </w:t>
      </w:r>
      <w:r w:rsidR="00C4592B">
        <w:t xml:space="preserve">general government, universities, and community colleges </w:t>
      </w:r>
      <w:r>
        <w:t>since the implementation of GASB 34.</w:t>
      </w:r>
    </w:p>
    <w:p w14:paraId="07D4751B" w14:textId="77777777" w:rsidR="00C4592B" w:rsidRDefault="00C4592B" w:rsidP="005B3579">
      <w:pPr>
        <w:spacing w:after="0"/>
        <w:ind w:left="360"/>
      </w:pPr>
    </w:p>
    <w:p w14:paraId="26DEBC39" w14:textId="6B892C4E" w:rsidR="008C2C6F" w:rsidRDefault="00996416" w:rsidP="005B3579">
      <w:pPr>
        <w:pStyle w:val="ListParagraph"/>
        <w:numPr>
          <w:ilvl w:val="0"/>
          <w:numId w:val="1"/>
        </w:numPr>
        <w:spacing w:after="0"/>
        <w:ind w:left="360"/>
      </w:pPr>
      <w:r>
        <w:t xml:space="preserve">From my perspective, </w:t>
      </w:r>
      <w:r w:rsidRPr="00996416">
        <w:rPr>
          <w:u w:val="single"/>
        </w:rPr>
        <w:t>w</w:t>
      </w:r>
      <w:r w:rsidR="00C4592B" w:rsidRPr="00D631FA">
        <w:rPr>
          <w:u w:val="single"/>
        </w:rPr>
        <w:t>ith perfect data and analysis, the total liability under LIFO</w:t>
      </w:r>
      <w:r w:rsidR="007B00F0" w:rsidRPr="00D631FA">
        <w:rPr>
          <w:u w:val="single"/>
        </w:rPr>
        <w:t xml:space="preserve"> and FIFO should be similar.  The current liability under LIFO will be smaller</w:t>
      </w:r>
      <w:r w:rsidR="003045C5" w:rsidRPr="00D631FA">
        <w:rPr>
          <w:u w:val="single"/>
        </w:rPr>
        <w:t xml:space="preserve"> than the current liability for FIFO.</w:t>
      </w:r>
    </w:p>
    <w:p w14:paraId="581C4027" w14:textId="77777777" w:rsidR="008C2C6F" w:rsidRDefault="008C2C6F" w:rsidP="005B3579">
      <w:pPr>
        <w:spacing w:after="0"/>
        <w:ind w:left="360"/>
      </w:pPr>
    </w:p>
    <w:p w14:paraId="35455E63" w14:textId="5056961A" w:rsidR="00C4592B" w:rsidRDefault="00A174D5" w:rsidP="005B3579">
      <w:pPr>
        <w:pStyle w:val="ListParagraph"/>
        <w:numPr>
          <w:ilvl w:val="0"/>
          <w:numId w:val="1"/>
        </w:numPr>
        <w:spacing w:after="0"/>
        <w:ind w:left="360"/>
      </w:pPr>
      <w:r>
        <w:t xml:space="preserve">Our </w:t>
      </w:r>
      <w:r w:rsidRPr="00517D3F">
        <w:rPr>
          <w:u w:val="single"/>
        </w:rPr>
        <w:t>LIFO method</w:t>
      </w:r>
      <w:r>
        <w:t xml:space="preserve"> isolates </w:t>
      </w:r>
      <w:r w:rsidR="009A1D6F">
        <w:t>sick leave taken</w:t>
      </w:r>
      <w:r>
        <w:t xml:space="preserve"> activity</w:t>
      </w:r>
      <w:r w:rsidR="009A1D6F">
        <w:t xml:space="preserve"> (excluding terminations and retirements)</w:t>
      </w:r>
      <w:r w:rsidR="007F70DB">
        <w:t xml:space="preserve"> as compared to the total sick leave bucket</w:t>
      </w:r>
      <w:r w:rsidR="009A1D6F">
        <w:t xml:space="preserve">.  </w:t>
      </w:r>
      <w:r w:rsidR="00824192">
        <w:t>O</w:t>
      </w:r>
      <w:r w:rsidR="008C2C6F">
        <w:t>ur</w:t>
      </w:r>
      <w:r>
        <w:t xml:space="preserve"> LIFO </w:t>
      </w:r>
      <w:r w:rsidR="008C2C6F">
        <w:t xml:space="preserve">method </w:t>
      </w:r>
      <w:r w:rsidR="00E94EE0">
        <w:t xml:space="preserve">avoids the </w:t>
      </w:r>
      <w:r>
        <w:t xml:space="preserve">need to evaluate </w:t>
      </w:r>
      <w:r w:rsidR="008C2C6F">
        <w:t xml:space="preserve">“more likely than not” </w:t>
      </w:r>
      <w:r w:rsidR="000D649D">
        <w:t xml:space="preserve">(MLTN) </w:t>
      </w:r>
      <w:r w:rsidR="00E94EE0">
        <w:t xml:space="preserve">hours </w:t>
      </w:r>
      <w:r w:rsidR="008C2C6F">
        <w:t>to be used.</w:t>
      </w:r>
      <w:r w:rsidR="00824192">
        <w:t xml:space="preserve">  Our method arrives at MLTN by default.</w:t>
      </w:r>
    </w:p>
    <w:p w14:paraId="4CFC7294" w14:textId="77777777" w:rsidR="007B00F0" w:rsidRDefault="007B00F0" w:rsidP="005B3579">
      <w:pPr>
        <w:spacing w:after="0"/>
        <w:ind w:left="360"/>
      </w:pPr>
    </w:p>
    <w:p w14:paraId="1923E025" w14:textId="17783056" w:rsidR="003703BF" w:rsidRDefault="00732AA9" w:rsidP="005B3579">
      <w:pPr>
        <w:pStyle w:val="ListParagraph"/>
        <w:numPr>
          <w:ilvl w:val="0"/>
          <w:numId w:val="1"/>
        </w:numPr>
        <w:spacing w:after="0"/>
        <w:ind w:left="360"/>
      </w:pPr>
      <w:r>
        <w:t xml:space="preserve">However, </w:t>
      </w:r>
      <w:r w:rsidRPr="00D631FA">
        <w:rPr>
          <w:u w:val="single"/>
        </w:rPr>
        <w:t>under FIFO</w:t>
      </w:r>
      <w:r>
        <w:t xml:space="preserve">, when you </w:t>
      </w:r>
      <w:r w:rsidR="00E94EE0">
        <w:t xml:space="preserve">first </w:t>
      </w:r>
      <w:r>
        <w:t xml:space="preserve">look at the total sick leave hours bucket, you must estimate how </w:t>
      </w:r>
      <w:r w:rsidR="002069BB">
        <w:t xml:space="preserve">many </w:t>
      </w:r>
      <w:r>
        <w:t>of those hours will never be taken</w:t>
      </w:r>
      <w:r w:rsidR="00CE04D1">
        <w:t xml:space="preserve"> </w:t>
      </w:r>
      <w:r w:rsidR="000C6F12">
        <w:t>as part of your MLTN determination</w:t>
      </w:r>
      <w:r w:rsidR="0016435D">
        <w:t xml:space="preserve">.  </w:t>
      </w:r>
      <w:r w:rsidR="003703BF">
        <w:t>You have multiple years of terminations</w:t>
      </w:r>
      <w:r w:rsidR="00AB6164">
        <w:t xml:space="preserve"> and retirements</w:t>
      </w:r>
      <w:r w:rsidR="003703BF">
        <w:t xml:space="preserve"> in the total sick leave bucket as of June 30.</w:t>
      </w:r>
    </w:p>
    <w:p w14:paraId="035DE335" w14:textId="77777777" w:rsidR="003703BF" w:rsidRDefault="003703BF" w:rsidP="005B3579">
      <w:pPr>
        <w:spacing w:after="0"/>
        <w:ind w:left="360"/>
      </w:pPr>
    </w:p>
    <w:p w14:paraId="05C20980" w14:textId="75BBCBEA" w:rsidR="00394D21" w:rsidRPr="0009116F" w:rsidRDefault="001A365C" w:rsidP="005B3579">
      <w:pPr>
        <w:pStyle w:val="ListParagraph"/>
        <w:numPr>
          <w:ilvl w:val="0"/>
          <w:numId w:val="1"/>
        </w:numPr>
        <w:spacing w:after="0"/>
        <w:ind w:left="360"/>
      </w:pPr>
      <w:r>
        <w:t>Under FIFO, y</w:t>
      </w:r>
      <w:r w:rsidR="0016435D">
        <w:t xml:space="preserve">ou need more reliable data </w:t>
      </w:r>
      <w:r w:rsidR="00F5096A">
        <w:t>for</w:t>
      </w:r>
      <w:r w:rsidR="0016435D">
        <w:t xml:space="preserve"> terminations</w:t>
      </w:r>
      <w:r w:rsidR="00AB6164">
        <w:t xml:space="preserve"> and retirements</w:t>
      </w:r>
      <w:r w:rsidR="000D649D">
        <w:t xml:space="preserve"> to be able to arrive at your MLTN determination.</w:t>
      </w:r>
      <w:r w:rsidR="002069BB">
        <w:t xml:space="preserve">  </w:t>
      </w:r>
      <w:r w:rsidR="002069BB" w:rsidRPr="0009116F">
        <w:rPr>
          <w:i/>
          <w:iCs/>
          <w:u w:val="single"/>
        </w:rPr>
        <w:t>If you have good data, your termination</w:t>
      </w:r>
      <w:r w:rsidR="00142727" w:rsidRPr="0009116F">
        <w:rPr>
          <w:i/>
          <w:iCs/>
          <w:u w:val="single"/>
        </w:rPr>
        <w:t xml:space="preserve"> and retirement</w:t>
      </w:r>
      <w:r w:rsidR="002069BB" w:rsidRPr="0009116F">
        <w:rPr>
          <w:i/>
          <w:iCs/>
          <w:u w:val="single"/>
        </w:rPr>
        <w:t xml:space="preserve"> factor will drive the total liability down closer to what </w:t>
      </w:r>
      <w:r w:rsidR="00BE2774" w:rsidRPr="0009116F">
        <w:rPr>
          <w:i/>
          <w:iCs/>
          <w:u w:val="single"/>
        </w:rPr>
        <w:t>your total liability would be under LIFO</w:t>
      </w:r>
      <w:r w:rsidR="00BE2774" w:rsidRPr="0009116F">
        <w:rPr>
          <w:i/>
          <w:iCs/>
        </w:rPr>
        <w:t>.</w:t>
      </w:r>
    </w:p>
    <w:p w14:paraId="2C13A514" w14:textId="77777777" w:rsidR="00394D21" w:rsidRDefault="00394D21" w:rsidP="005B3579">
      <w:pPr>
        <w:spacing w:after="0"/>
        <w:ind w:left="360"/>
      </w:pPr>
    </w:p>
    <w:p w14:paraId="192F2FDA" w14:textId="3E3AE7A0" w:rsidR="002D145D" w:rsidRPr="006F5929" w:rsidRDefault="002D145D" w:rsidP="005B3579">
      <w:pPr>
        <w:pStyle w:val="ListParagraph"/>
        <w:spacing w:after="0"/>
        <w:ind w:left="360"/>
        <w:rPr>
          <w:b/>
          <w:bCs/>
        </w:rPr>
      </w:pPr>
      <w:r w:rsidRPr="00532125">
        <w:rPr>
          <w:b/>
          <w:bCs/>
          <w:highlight w:val="green"/>
        </w:rPr>
        <w:t xml:space="preserve">Restatement </w:t>
      </w:r>
      <w:r w:rsidR="0048635E" w:rsidRPr="00532125">
        <w:rPr>
          <w:b/>
          <w:bCs/>
          <w:highlight w:val="green"/>
        </w:rPr>
        <w:t>C</w:t>
      </w:r>
      <w:r w:rsidRPr="00532125">
        <w:rPr>
          <w:b/>
          <w:bCs/>
          <w:highlight w:val="green"/>
        </w:rPr>
        <w:t>onsiderations for GASB 101</w:t>
      </w:r>
    </w:p>
    <w:p w14:paraId="048DF242" w14:textId="43E9A1AE" w:rsidR="00FE3045" w:rsidRDefault="00BF6D66" w:rsidP="005B3579">
      <w:pPr>
        <w:pStyle w:val="ListParagraph"/>
        <w:numPr>
          <w:ilvl w:val="0"/>
          <w:numId w:val="1"/>
        </w:numPr>
        <w:spacing w:after="0"/>
        <w:ind w:left="360"/>
      </w:pPr>
      <w:r>
        <w:t>VERY IMPORTANT</w:t>
      </w:r>
      <w:proofErr w:type="gramStart"/>
      <w:r>
        <w:t xml:space="preserve">:  </w:t>
      </w:r>
      <w:r w:rsidR="0080693D">
        <w:t>Your</w:t>
      </w:r>
      <w:proofErr w:type="gramEnd"/>
      <w:r w:rsidR="0080693D">
        <w:t xml:space="preserve"> </w:t>
      </w:r>
      <w:r w:rsidR="00FE3045">
        <w:t xml:space="preserve">FY25 </w:t>
      </w:r>
      <w:r w:rsidR="0080693D">
        <w:t>beginning balance</w:t>
      </w:r>
      <w:r w:rsidR="00134B8A">
        <w:t>s</w:t>
      </w:r>
      <w:r w:rsidR="0080693D">
        <w:t xml:space="preserve"> for compensated absences </w:t>
      </w:r>
      <w:r w:rsidR="00134B8A">
        <w:t xml:space="preserve">should be </w:t>
      </w:r>
      <w:r w:rsidR="00282151">
        <w:t xml:space="preserve">presented based on </w:t>
      </w:r>
      <w:r w:rsidR="007F5D64">
        <w:t>pay rates</w:t>
      </w:r>
      <w:r w:rsidR="00282151">
        <w:t xml:space="preserve"> effective </w:t>
      </w:r>
      <w:r>
        <w:t xml:space="preserve">through </w:t>
      </w:r>
      <w:r w:rsidR="0080693D">
        <w:t>June 30</w:t>
      </w:r>
      <w:r>
        <w:t xml:space="preserve">, </w:t>
      </w:r>
      <w:proofErr w:type="gramStart"/>
      <w:r>
        <w:t>2024</w:t>
      </w:r>
      <w:proofErr w:type="gramEnd"/>
      <w:r w:rsidR="001B0CB0">
        <w:t xml:space="preserve"> employment</w:t>
      </w:r>
      <w:r>
        <w:t>.</w:t>
      </w:r>
      <w:r w:rsidR="00472D66">
        <w:t xml:space="preserve">  </w:t>
      </w:r>
    </w:p>
    <w:p w14:paraId="3B472064" w14:textId="77777777" w:rsidR="00FE3045" w:rsidRDefault="00FE3045" w:rsidP="004F3E0B">
      <w:pPr>
        <w:pStyle w:val="ListParagraph"/>
        <w:spacing w:after="0"/>
        <w:ind w:left="360"/>
      </w:pPr>
    </w:p>
    <w:p w14:paraId="2D87B758" w14:textId="60C68489" w:rsidR="002D145D" w:rsidRDefault="00472D66" w:rsidP="005B3579">
      <w:pPr>
        <w:pStyle w:val="ListParagraph"/>
        <w:numPr>
          <w:ilvl w:val="0"/>
          <w:numId w:val="1"/>
        </w:numPr>
        <w:spacing w:after="0"/>
        <w:ind w:left="360"/>
      </w:pPr>
      <w:r>
        <w:t>You should be able to use pay</w:t>
      </w:r>
      <w:r w:rsidR="00567319">
        <w:t xml:space="preserve"> </w:t>
      </w:r>
      <w:r>
        <w:t xml:space="preserve">rate information from your FY24 </w:t>
      </w:r>
      <w:r w:rsidR="00F924B6">
        <w:t xml:space="preserve">compilation </w:t>
      </w:r>
      <w:r>
        <w:t xml:space="preserve">workpapers for vacation leave </w:t>
      </w:r>
      <w:r w:rsidR="002C4908">
        <w:t xml:space="preserve">as you calculate beginning balance information for vacation leave and sick leave for FY25 </w:t>
      </w:r>
      <w:r w:rsidR="00F924B6">
        <w:t>as you implement GASB 101.</w:t>
      </w:r>
    </w:p>
    <w:p w14:paraId="6406DD23" w14:textId="77777777" w:rsidR="002D145D" w:rsidRDefault="002D145D" w:rsidP="005B3579">
      <w:pPr>
        <w:spacing w:after="0"/>
        <w:ind w:left="360"/>
      </w:pPr>
    </w:p>
    <w:p w14:paraId="06DF5FAD" w14:textId="19C7B9DB" w:rsidR="00245412" w:rsidRPr="006F5929" w:rsidRDefault="00245412" w:rsidP="005B3579">
      <w:pPr>
        <w:pStyle w:val="ListParagraph"/>
        <w:spacing w:after="0"/>
        <w:ind w:left="360"/>
        <w:rPr>
          <w:b/>
          <w:bCs/>
          <w:u w:val="single"/>
        </w:rPr>
      </w:pPr>
      <w:r w:rsidRPr="00532125">
        <w:rPr>
          <w:b/>
          <w:bCs/>
          <w:highlight w:val="green"/>
          <w:u w:val="single"/>
        </w:rPr>
        <w:t xml:space="preserve">Vacation Leave </w:t>
      </w:r>
      <w:r w:rsidR="001B0CB0" w:rsidRPr="00532125">
        <w:rPr>
          <w:b/>
          <w:bCs/>
          <w:highlight w:val="green"/>
          <w:u w:val="single"/>
        </w:rPr>
        <w:t>P</w:t>
      </w:r>
      <w:r w:rsidRPr="00532125">
        <w:rPr>
          <w:b/>
          <w:bCs/>
          <w:highlight w:val="green"/>
          <w:u w:val="single"/>
        </w:rPr>
        <w:t xml:space="preserve">ossible </w:t>
      </w:r>
      <w:r w:rsidR="001B0CB0" w:rsidRPr="00532125">
        <w:rPr>
          <w:b/>
          <w:bCs/>
          <w:highlight w:val="green"/>
          <w:u w:val="single"/>
        </w:rPr>
        <w:t>R</w:t>
      </w:r>
      <w:r w:rsidRPr="00532125">
        <w:rPr>
          <w:b/>
          <w:bCs/>
          <w:highlight w:val="green"/>
          <w:u w:val="single"/>
        </w:rPr>
        <w:t>estatement</w:t>
      </w:r>
    </w:p>
    <w:p w14:paraId="5C6DEF10" w14:textId="6E5FB244" w:rsidR="00245412" w:rsidRDefault="00245412" w:rsidP="005B3579">
      <w:pPr>
        <w:pStyle w:val="ListParagraph"/>
        <w:numPr>
          <w:ilvl w:val="0"/>
          <w:numId w:val="1"/>
        </w:numPr>
        <w:spacing w:after="0"/>
        <w:ind w:left="360"/>
      </w:pPr>
      <w:r>
        <w:t xml:space="preserve">GASB 16 </w:t>
      </w:r>
      <w:proofErr w:type="gramStart"/>
      <w:r>
        <w:t>required</w:t>
      </w:r>
      <w:proofErr w:type="gramEnd"/>
      <w:r>
        <w:t xml:space="preserve"> inclusion of salary-related payments for Employer Defined Benefit contributions</w:t>
      </w:r>
      <w:r w:rsidR="00CA3D1F">
        <w:t xml:space="preserve">.  </w:t>
      </w:r>
      <w:r>
        <w:tab/>
        <w:t>GASB 101 excludes salary-related payments for Employer Defined Benefit contributions</w:t>
      </w:r>
    </w:p>
    <w:p w14:paraId="174687A6" w14:textId="77777777" w:rsidR="00245412" w:rsidRDefault="00245412" w:rsidP="005B3579">
      <w:pPr>
        <w:spacing w:after="0"/>
        <w:ind w:left="360"/>
      </w:pPr>
    </w:p>
    <w:p w14:paraId="6F93DBB5" w14:textId="169E8CA6" w:rsidR="00245412" w:rsidRPr="006F5929" w:rsidRDefault="00245412" w:rsidP="005B3579">
      <w:pPr>
        <w:pStyle w:val="ListParagraph"/>
        <w:spacing w:after="0"/>
        <w:ind w:left="360"/>
        <w:rPr>
          <w:b/>
          <w:bCs/>
          <w:u w:val="single"/>
        </w:rPr>
      </w:pPr>
      <w:r w:rsidRPr="00532125">
        <w:rPr>
          <w:b/>
          <w:bCs/>
          <w:highlight w:val="green"/>
          <w:u w:val="single"/>
        </w:rPr>
        <w:t>Sick Leave Hours Liability Considerations</w:t>
      </w:r>
    </w:p>
    <w:p w14:paraId="7AA475BC" w14:textId="3DFF0944" w:rsidR="009032FE" w:rsidRDefault="009032FE" w:rsidP="005B3579">
      <w:pPr>
        <w:pStyle w:val="ListParagraph"/>
        <w:numPr>
          <w:ilvl w:val="0"/>
          <w:numId w:val="1"/>
        </w:numPr>
        <w:spacing w:after="0"/>
        <w:ind w:left="360"/>
      </w:pPr>
      <w:r>
        <w:t>Sick leave hours in North Carolina local governments</w:t>
      </w:r>
      <w:r w:rsidR="00F90EC4">
        <w:t xml:space="preserve"> </w:t>
      </w:r>
      <w:r w:rsidR="00EA4754">
        <w:t xml:space="preserve">are </w:t>
      </w:r>
      <w:r w:rsidR="00F52D39">
        <w:t xml:space="preserve">typically </w:t>
      </w:r>
      <w:r w:rsidR="00F90EC4">
        <w:t xml:space="preserve">earned </w:t>
      </w:r>
      <w:r w:rsidR="00F52D39">
        <w:t xml:space="preserve">at a rate of </w:t>
      </w:r>
      <w:r w:rsidR="00F90EC4">
        <w:t>8 hours per month</w:t>
      </w:r>
      <w:r w:rsidR="00F52D39">
        <w:t xml:space="preserve"> for a total of </w:t>
      </w:r>
      <w:r w:rsidR="00F90EC4">
        <w:t xml:space="preserve">96 hours per year.  </w:t>
      </w:r>
      <w:r w:rsidR="001D2A85">
        <w:t>A local government</w:t>
      </w:r>
      <w:r w:rsidR="0022724E">
        <w:t>’</w:t>
      </w:r>
      <w:r w:rsidR="001D2A85">
        <w:t xml:space="preserve">s policy might be that </w:t>
      </w:r>
      <w:r w:rsidR="0022724E">
        <w:t>v</w:t>
      </w:r>
      <w:r w:rsidR="00F90EC4">
        <w:t xml:space="preserve">acation hours </w:t>
      </w:r>
      <w:r w:rsidR="001D2A85">
        <w:t>are</w:t>
      </w:r>
      <w:r w:rsidR="00F90EC4">
        <w:t xml:space="preserve"> capped at 240 hours </w:t>
      </w:r>
      <w:r w:rsidR="00402C09">
        <w:t xml:space="preserve">per year, </w:t>
      </w:r>
      <w:r w:rsidR="00F90EC4">
        <w:t xml:space="preserve">with excess </w:t>
      </w:r>
      <w:r w:rsidR="00402C09">
        <w:t xml:space="preserve">vacation </w:t>
      </w:r>
      <w:r w:rsidR="00F90EC4">
        <w:t xml:space="preserve">hours </w:t>
      </w:r>
      <w:r w:rsidR="00402C09">
        <w:t>converting to earned sick leave hours.</w:t>
      </w:r>
    </w:p>
    <w:p w14:paraId="1429AFC1" w14:textId="77777777" w:rsidR="009032FE" w:rsidRDefault="009032FE" w:rsidP="005B3579">
      <w:pPr>
        <w:spacing w:after="0"/>
        <w:ind w:left="360"/>
      </w:pPr>
    </w:p>
    <w:p w14:paraId="4826E55D" w14:textId="1F7E3B3A" w:rsidR="00245412" w:rsidRDefault="00245412" w:rsidP="005B3579">
      <w:pPr>
        <w:pStyle w:val="ListParagraph"/>
        <w:numPr>
          <w:ilvl w:val="0"/>
          <w:numId w:val="1"/>
        </w:numPr>
        <w:spacing w:after="0"/>
        <w:ind w:left="360"/>
      </w:pPr>
      <w:r>
        <w:t>Guilford County sick leave hour earnings, including vacation rollover hours, are approximately 2X sick leave hours taken</w:t>
      </w:r>
      <w:r w:rsidR="0039450B">
        <w:t>.</w:t>
      </w:r>
      <w:r w:rsidR="009F64D1">
        <w:t xml:space="preserve">  Our total sick leave hours bucket is always growing.</w:t>
      </w:r>
    </w:p>
    <w:p w14:paraId="236AF130" w14:textId="77777777" w:rsidR="00FD4069" w:rsidRDefault="00FD4069" w:rsidP="00FD4069">
      <w:pPr>
        <w:pStyle w:val="ListParagraph"/>
        <w:spacing w:after="0" w:line="240" w:lineRule="auto"/>
        <w:ind w:left="540"/>
        <w:rPr>
          <w:b/>
          <w:bCs/>
          <w:sz w:val="48"/>
          <w:szCs w:val="48"/>
        </w:rPr>
      </w:pPr>
    </w:p>
    <w:p w14:paraId="0CBF9D73" w14:textId="73EE98DB" w:rsidR="00FD4069" w:rsidRPr="00FD4069" w:rsidRDefault="00FD4069" w:rsidP="00FD4069">
      <w:pPr>
        <w:pStyle w:val="ListParagraph"/>
        <w:spacing w:after="0" w:line="240" w:lineRule="auto"/>
        <w:ind w:left="540"/>
        <w:jc w:val="center"/>
        <w:rPr>
          <w:b/>
          <w:bCs/>
          <w:sz w:val="48"/>
          <w:szCs w:val="48"/>
        </w:rPr>
      </w:pPr>
      <w:r w:rsidRPr="00FD4069">
        <w:rPr>
          <w:b/>
          <w:bCs/>
          <w:sz w:val="48"/>
          <w:szCs w:val="48"/>
        </w:rPr>
        <w:t>GASB 101 Compensated Absences</w:t>
      </w:r>
    </w:p>
    <w:p w14:paraId="2E07FE66" w14:textId="77777777" w:rsidR="00FD4069" w:rsidRPr="00FD4069" w:rsidRDefault="00FD4069" w:rsidP="00FD4069">
      <w:pPr>
        <w:pStyle w:val="ListParagraph"/>
        <w:spacing w:after="0"/>
        <w:ind w:left="540"/>
        <w:jc w:val="center"/>
        <w:rPr>
          <w:sz w:val="20"/>
          <w:szCs w:val="20"/>
        </w:rPr>
      </w:pPr>
      <w:r w:rsidRPr="00FD4069">
        <w:rPr>
          <w:sz w:val="20"/>
          <w:szCs w:val="20"/>
        </w:rPr>
        <w:t>jbarfield@guilfordcountync.gov</w:t>
      </w:r>
    </w:p>
    <w:p w14:paraId="3DACD2C9" w14:textId="77777777" w:rsidR="00B8349B" w:rsidRDefault="00B8349B" w:rsidP="005B3579">
      <w:pPr>
        <w:spacing w:after="0"/>
        <w:ind w:left="360"/>
      </w:pPr>
    </w:p>
    <w:p w14:paraId="0BE72FBD" w14:textId="3029C816" w:rsidR="004D0448" w:rsidRDefault="004D0448" w:rsidP="005B3579">
      <w:pPr>
        <w:pStyle w:val="ListParagraph"/>
        <w:numPr>
          <w:ilvl w:val="0"/>
          <w:numId w:val="1"/>
        </w:numPr>
        <w:spacing w:after="0"/>
        <w:ind w:left="360"/>
      </w:pPr>
      <w:r>
        <w:t xml:space="preserve">Sick leave hours </w:t>
      </w:r>
      <w:r w:rsidR="008435E8">
        <w:t>exit the total sick leave bucket</w:t>
      </w:r>
      <w:r w:rsidR="00441DBC">
        <w:t xml:space="preserve"> </w:t>
      </w:r>
      <w:r w:rsidR="004122FD">
        <w:t>(</w:t>
      </w:r>
      <w:r w:rsidR="007F20C7" w:rsidRPr="006F5929">
        <w:rPr>
          <w:i/>
          <w:iCs/>
        </w:rPr>
        <w:t xml:space="preserve">no longer considered in </w:t>
      </w:r>
      <w:r w:rsidR="00697F0E" w:rsidRPr="006F5929">
        <w:rPr>
          <w:i/>
          <w:iCs/>
        </w:rPr>
        <w:t xml:space="preserve">liability </w:t>
      </w:r>
      <w:r w:rsidR="007F20C7" w:rsidRPr="006F5929">
        <w:rPr>
          <w:i/>
          <w:iCs/>
        </w:rPr>
        <w:t>analysis</w:t>
      </w:r>
      <w:r w:rsidR="007F20C7">
        <w:t xml:space="preserve">) </w:t>
      </w:r>
      <w:r w:rsidR="00441DBC">
        <w:t>when an employee leaves service</w:t>
      </w:r>
      <w:r w:rsidR="008435E8">
        <w:t xml:space="preserve"> through</w:t>
      </w:r>
      <w:r w:rsidR="0039450B">
        <w:t xml:space="preserve"> termination or retirement.</w:t>
      </w:r>
    </w:p>
    <w:p w14:paraId="28619663" w14:textId="77777777" w:rsidR="004D0448" w:rsidRDefault="004D0448" w:rsidP="005B3579">
      <w:pPr>
        <w:spacing w:after="0"/>
        <w:ind w:left="360"/>
      </w:pPr>
    </w:p>
    <w:p w14:paraId="0C88F18B" w14:textId="77777777" w:rsidR="004F3E0B" w:rsidRDefault="009E7B75" w:rsidP="005B3579">
      <w:pPr>
        <w:pStyle w:val="ListParagraph"/>
        <w:numPr>
          <w:ilvl w:val="0"/>
          <w:numId w:val="1"/>
        </w:numPr>
        <w:spacing w:after="0"/>
        <w:ind w:left="360"/>
      </w:pPr>
      <w:r>
        <w:t>From a LIFO perspective with consistent growth in annual sick leave hours</w:t>
      </w:r>
      <w:r w:rsidR="000B4209">
        <w:t xml:space="preserve">, some state and local governments, universities, </w:t>
      </w:r>
      <w:r w:rsidR="009525AB">
        <w:t xml:space="preserve">and </w:t>
      </w:r>
      <w:r w:rsidR="000B4209">
        <w:t>community colleges, are</w:t>
      </w:r>
      <w:r w:rsidR="009D77E8">
        <w:t xml:space="preserve"> taking the position that they do not have a liability for sick leave</w:t>
      </w:r>
      <w:r w:rsidR="00A27824">
        <w:t>, or that the liability</w:t>
      </w:r>
      <w:r w:rsidR="009525AB">
        <w:t>,</w:t>
      </w:r>
      <w:r w:rsidR="00A27824">
        <w:t xml:space="preserve"> if any</w:t>
      </w:r>
      <w:r w:rsidR="009525AB">
        <w:t>,</w:t>
      </w:r>
      <w:r w:rsidR="00A27824">
        <w:t xml:space="preserve"> is immaterial.</w:t>
      </w:r>
      <w:r w:rsidR="00C03493">
        <w:t xml:space="preserve">  </w:t>
      </w:r>
    </w:p>
    <w:p w14:paraId="7CA707A2" w14:textId="77777777" w:rsidR="004F3E0B" w:rsidRDefault="004F3E0B" w:rsidP="004F3E0B">
      <w:pPr>
        <w:pStyle w:val="ListParagraph"/>
      </w:pPr>
    </w:p>
    <w:p w14:paraId="1A9F445F" w14:textId="597043A0" w:rsidR="009E7B75" w:rsidRDefault="00C03493" w:rsidP="005B3579">
      <w:pPr>
        <w:pStyle w:val="ListParagraph"/>
        <w:numPr>
          <w:ilvl w:val="0"/>
          <w:numId w:val="1"/>
        </w:numPr>
        <w:spacing w:after="0"/>
        <w:ind w:left="360"/>
      </w:pPr>
      <w:r>
        <w:t>National GFOA has mentioned th</w:t>
      </w:r>
      <w:r w:rsidR="00697F0E">
        <w:t xml:space="preserve">e </w:t>
      </w:r>
      <w:r>
        <w:t xml:space="preserve">possibility </w:t>
      </w:r>
      <w:r w:rsidR="00697F0E">
        <w:t xml:space="preserve">of no sick leave liability </w:t>
      </w:r>
      <w:r>
        <w:t xml:space="preserve">in a recent </w:t>
      </w:r>
      <w:r w:rsidR="0094071B">
        <w:t xml:space="preserve">Government Finance Review article, </w:t>
      </w:r>
      <w:r>
        <w:t>and the National Association of College and University Business Officers are endorsing this</w:t>
      </w:r>
      <w:r w:rsidR="000B6F62">
        <w:t xml:space="preserve"> no liability/immaterial liability</w:t>
      </w:r>
      <w:r>
        <w:t xml:space="preserve"> approach.</w:t>
      </w:r>
    </w:p>
    <w:p w14:paraId="217213B6" w14:textId="77777777" w:rsidR="00C56161" w:rsidRDefault="00C56161" w:rsidP="005B3579">
      <w:pPr>
        <w:spacing w:after="0"/>
        <w:ind w:left="360"/>
      </w:pPr>
    </w:p>
    <w:p w14:paraId="361F65B1" w14:textId="705B9130" w:rsidR="00F93D88" w:rsidRDefault="00F93D88" w:rsidP="005B3579">
      <w:pPr>
        <w:pStyle w:val="ListParagraph"/>
        <w:numPr>
          <w:ilvl w:val="0"/>
          <w:numId w:val="1"/>
        </w:numPr>
        <w:spacing w:after="0"/>
        <w:ind w:left="360"/>
      </w:pPr>
      <w:r>
        <w:t xml:space="preserve">Summary high level analysis and </w:t>
      </w:r>
      <w:r w:rsidR="00593BE8">
        <w:t>reasonable assumptions need to be kept in mind.</w:t>
      </w:r>
      <w:r w:rsidR="00042FD1">
        <w:t xml:space="preserve"> You must be consistent, systematic, and rational.  Your auditor needs to agree with your plan.</w:t>
      </w:r>
    </w:p>
    <w:p w14:paraId="3A4E4D85" w14:textId="77777777" w:rsidR="007E2749" w:rsidRDefault="007E2749" w:rsidP="005B3579">
      <w:pPr>
        <w:spacing w:after="0"/>
        <w:ind w:left="360"/>
      </w:pPr>
    </w:p>
    <w:p w14:paraId="4D372660" w14:textId="639A2E4E" w:rsidR="00B8349B" w:rsidRPr="00B8349B" w:rsidRDefault="00B8349B" w:rsidP="005B3579">
      <w:pPr>
        <w:spacing w:after="0"/>
        <w:ind w:left="360"/>
        <w:rPr>
          <w:b/>
          <w:bCs/>
        </w:rPr>
      </w:pPr>
      <w:r w:rsidRPr="00532125">
        <w:rPr>
          <w:b/>
          <w:bCs/>
          <w:highlight w:val="green"/>
        </w:rPr>
        <w:t>LIFO F</w:t>
      </w:r>
      <w:r w:rsidRPr="00795E48">
        <w:rPr>
          <w:b/>
          <w:bCs/>
          <w:highlight w:val="green"/>
        </w:rPr>
        <w:t>low Assumption Methodology</w:t>
      </w:r>
      <w:r w:rsidR="00532125" w:rsidRPr="00795E48">
        <w:rPr>
          <w:b/>
          <w:bCs/>
          <w:highlight w:val="green"/>
        </w:rPr>
        <w:t xml:space="preserve"> Calculation</w:t>
      </w:r>
    </w:p>
    <w:p w14:paraId="29D4E2B4" w14:textId="230F515D" w:rsidR="003C5E48" w:rsidRDefault="007E2749" w:rsidP="005B3579">
      <w:pPr>
        <w:pStyle w:val="ListParagraph"/>
        <w:numPr>
          <w:ilvl w:val="0"/>
          <w:numId w:val="1"/>
        </w:numPr>
        <w:spacing w:after="0"/>
        <w:ind w:left="360"/>
      </w:pPr>
      <w:r>
        <w:t>On a LIFO basis</w:t>
      </w:r>
      <w:r w:rsidR="004D6976">
        <w:t xml:space="preserve">, you can demonstrate that there is a liability when you drill-down </w:t>
      </w:r>
      <w:r w:rsidR="00BC0D1A">
        <w:t>on</w:t>
      </w:r>
      <w:r w:rsidR="004D6976">
        <w:t xml:space="preserve"> a position</w:t>
      </w:r>
      <w:r w:rsidR="00FE3045">
        <w:t>-</w:t>
      </w:r>
      <w:r w:rsidR="004D6976">
        <w:t>by</w:t>
      </w:r>
      <w:r w:rsidR="00FE3045">
        <w:t>-</w:t>
      </w:r>
      <w:r w:rsidR="004D6976">
        <w:t xml:space="preserve">position </w:t>
      </w:r>
      <w:r w:rsidR="00BC0D1A">
        <w:t>basis</w:t>
      </w:r>
      <w:r w:rsidR="00593BE8">
        <w:t>.</w:t>
      </w:r>
      <w:r w:rsidR="001D214F">
        <w:t xml:space="preserve">  </w:t>
      </w:r>
      <w:r w:rsidR="003C5E48">
        <w:t>Using Excel analysis</w:t>
      </w:r>
      <w:r w:rsidR="00003B77">
        <w:t xml:space="preserve"> and the LIFO flow assumption</w:t>
      </w:r>
      <w:r w:rsidR="003C5E48">
        <w:t xml:space="preserve">, </w:t>
      </w:r>
      <w:r w:rsidR="008C7BD3">
        <w:t>with guidance found in the GASB 101 Basis for Conclusions</w:t>
      </w:r>
      <w:r w:rsidR="006322D8">
        <w:t>,</w:t>
      </w:r>
      <w:r w:rsidR="008B6732">
        <w:t xml:space="preserve"> </w:t>
      </w:r>
      <w:r w:rsidR="006322D8">
        <w:t xml:space="preserve">paragraph B43 on </w:t>
      </w:r>
      <w:r w:rsidR="008B6732">
        <w:t xml:space="preserve">page </w:t>
      </w:r>
      <w:r w:rsidR="006322D8">
        <w:t>26</w:t>
      </w:r>
      <w:r w:rsidR="008C7BD3">
        <w:t xml:space="preserve">, you are allowed to </w:t>
      </w:r>
      <w:proofErr w:type="gramStart"/>
      <w:r w:rsidR="008C7BD3">
        <w:t xml:space="preserve">look </w:t>
      </w:r>
      <w:r w:rsidR="00EE1DDD">
        <w:t>into</w:t>
      </w:r>
      <w:proofErr w:type="gramEnd"/>
      <w:r w:rsidR="00EE1DDD">
        <w:t xml:space="preserve"> the </w:t>
      </w:r>
      <w:r w:rsidR="00AE5742">
        <w:t>subsequent year</w:t>
      </w:r>
      <w:r w:rsidR="00276135">
        <w:t xml:space="preserve"> for analysis </w:t>
      </w:r>
      <w:r w:rsidR="006322D8">
        <w:t xml:space="preserve">of </w:t>
      </w:r>
      <w:r w:rsidR="008B6732">
        <w:t>leave hours earned and taken.</w:t>
      </w:r>
    </w:p>
    <w:p w14:paraId="6EEBD8DD" w14:textId="77777777" w:rsidR="006322D8" w:rsidRDefault="006322D8" w:rsidP="005B3579">
      <w:pPr>
        <w:spacing w:after="0"/>
        <w:ind w:left="360"/>
      </w:pPr>
    </w:p>
    <w:p w14:paraId="12A977EF" w14:textId="44E64550" w:rsidR="00593AD0" w:rsidRDefault="006322D8" w:rsidP="005B3579">
      <w:pPr>
        <w:pStyle w:val="ListParagraph"/>
        <w:numPr>
          <w:ilvl w:val="0"/>
          <w:numId w:val="1"/>
        </w:numPr>
        <w:spacing w:after="0"/>
        <w:ind w:left="360"/>
      </w:pPr>
      <w:r>
        <w:t>Under our LIFO position</w:t>
      </w:r>
      <w:r w:rsidR="0080587E">
        <w:t>-</w:t>
      </w:r>
      <w:r>
        <w:t>by</w:t>
      </w:r>
      <w:r w:rsidR="0080587E">
        <w:t>-</w:t>
      </w:r>
      <w:r>
        <w:t xml:space="preserve">position analysis, </w:t>
      </w:r>
      <w:r w:rsidR="005F1795">
        <w:t xml:space="preserve">we are looking for situations where an employee took more sick hours than they earned in the subsequent </w:t>
      </w:r>
      <w:proofErr w:type="gramStart"/>
      <w:r w:rsidR="005F1795">
        <w:t>year</w:t>
      </w:r>
      <w:r w:rsidR="00616CD5">
        <w:t>, and</w:t>
      </w:r>
      <w:proofErr w:type="gramEnd"/>
      <w:r w:rsidR="00616CD5">
        <w:t xml:space="preserve"> therefore used hours from the employee’s beginning balance.</w:t>
      </w:r>
    </w:p>
    <w:p w14:paraId="3AB88FFA" w14:textId="77777777" w:rsidR="00593AD0" w:rsidRDefault="00593AD0" w:rsidP="005B3579">
      <w:pPr>
        <w:spacing w:after="0"/>
        <w:ind w:left="360"/>
      </w:pPr>
    </w:p>
    <w:p w14:paraId="65E7D1CB" w14:textId="4C94BA4F" w:rsidR="00AE46D3" w:rsidRDefault="00616CD5" w:rsidP="005B3579">
      <w:pPr>
        <w:pStyle w:val="ListParagraph"/>
        <w:numPr>
          <w:ilvl w:val="0"/>
          <w:numId w:val="1"/>
        </w:numPr>
        <w:spacing w:after="0"/>
        <w:ind w:left="360"/>
      </w:pPr>
      <w:r>
        <w:t xml:space="preserve">The data consistently reflects </w:t>
      </w:r>
      <w:r w:rsidR="004E26D4">
        <w:t xml:space="preserve">that across a workforce of approximately 3,000 employees, </w:t>
      </w:r>
      <w:r w:rsidR="00F50A85">
        <w:t xml:space="preserve">only </w:t>
      </w:r>
      <w:r w:rsidR="004E26D4">
        <w:t>2.</w:t>
      </w:r>
      <w:r w:rsidR="007A3DD5">
        <w:t>3</w:t>
      </w:r>
      <w:r w:rsidR="004E26D4">
        <w:t xml:space="preserve">5% </w:t>
      </w:r>
      <w:r w:rsidR="007A3DD5">
        <w:t>of</w:t>
      </w:r>
      <w:r w:rsidR="00593AD0">
        <w:t xml:space="preserve"> the total sick leave bucket hours will be used in a single year</w:t>
      </w:r>
      <w:r w:rsidR="003E4008">
        <w:t xml:space="preserve"> (current liability)</w:t>
      </w:r>
      <w:r w:rsidR="00F90261">
        <w:t>, based on the analysis of hours used over earned</w:t>
      </w:r>
      <w:r w:rsidR="001F56F7">
        <w:t xml:space="preserve"> in the subsequent year.</w:t>
      </w:r>
    </w:p>
    <w:p w14:paraId="010FAC23" w14:textId="77777777" w:rsidR="00AE46D3" w:rsidRDefault="00AE46D3" w:rsidP="005B3579">
      <w:pPr>
        <w:spacing w:after="0"/>
        <w:ind w:left="360"/>
      </w:pPr>
    </w:p>
    <w:p w14:paraId="2CD73AC0" w14:textId="39D31682" w:rsidR="006322D8" w:rsidRDefault="00AE46D3" w:rsidP="005B3579">
      <w:pPr>
        <w:pStyle w:val="ListParagraph"/>
        <w:numPr>
          <w:ilvl w:val="0"/>
          <w:numId w:val="1"/>
        </w:numPr>
        <w:spacing w:after="0"/>
        <w:ind w:left="360"/>
      </w:pPr>
      <w:r>
        <w:t xml:space="preserve">There are multiple years of 2.35% </w:t>
      </w:r>
      <w:r w:rsidR="00371398">
        <w:t xml:space="preserve">annual </w:t>
      </w:r>
      <w:r w:rsidR="002E50FD">
        <w:t>hours used in the total sick leave bucket</w:t>
      </w:r>
      <w:r>
        <w:t xml:space="preserve">.  </w:t>
      </w:r>
      <w:r w:rsidR="00371398">
        <w:t>Therefore</w:t>
      </w:r>
      <w:r w:rsidR="003E4008">
        <w:t>,</w:t>
      </w:r>
      <w:r w:rsidR="00371398">
        <w:t xml:space="preserve"> a </w:t>
      </w:r>
      <w:r w:rsidR="003E4008">
        <w:t xml:space="preserve">multiplying </w:t>
      </w:r>
      <w:r w:rsidR="00371398">
        <w:t xml:space="preserve">factor is necessary to </w:t>
      </w:r>
      <w:r w:rsidR="003E4008">
        <w:t>arrive at a total sick leave liability.</w:t>
      </w:r>
      <w:r w:rsidR="00065F3A">
        <w:t xml:space="preserve">  We have data available on overall years of service for our employees.  Years of service </w:t>
      </w:r>
      <w:proofErr w:type="gramStart"/>
      <w:r w:rsidR="00065F3A">
        <w:t>relate</w:t>
      </w:r>
      <w:r w:rsidR="00EC5835">
        <w:t>s</w:t>
      </w:r>
      <w:proofErr w:type="gramEnd"/>
      <w:r w:rsidR="00065F3A">
        <w:t xml:space="preserve"> to both </w:t>
      </w:r>
      <w:r w:rsidR="004C727A">
        <w:t xml:space="preserve">regular terminations and retirements.  Our overall workforce averages </w:t>
      </w:r>
      <w:r w:rsidR="00863F8D">
        <w:t>7.6 years of service.</w:t>
      </w:r>
    </w:p>
    <w:p w14:paraId="414AAB59" w14:textId="77777777" w:rsidR="008E1852" w:rsidRDefault="008E1852" w:rsidP="005B3579">
      <w:pPr>
        <w:spacing w:after="0"/>
        <w:ind w:left="360"/>
      </w:pPr>
    </w:p>
    <w:p w14:paraId="4C855FF6" w14:textId="56D4353D" w:rsidR="008E1852" w:rsidRPr="00467480" w:rsidRDefault="000F5424" w:rsidP="00467480">
      <w:pPr>
        <w:spacing w:after="0"/>
        <w:jc w:val="center"/>
        <w:rPr>
          <w:b/>
          <w:bCs/>
          <w:highlight w:val="lightGray"/>
        </w:rPr>
      </w:pPr>
      <w:r w:rsidRPr="00467480">
        <w:rPr>
          <w:b/>
          <w:bCs/>
          <w:highlight w:val="lightGray"/>
        </w:rPr>
        <w:t xml:space="preserve">LIFO Current </w:t>
      </w:r>
      <w:r w:rsidR="00253863">
        <w:rPr>
          <w:b/>
          <w:bCs/>
          <w:highlight w:val="lightGray"/>
        </w:rPr>
        <w:t xml:space="preserve">Sick Leave </w:t>
      </w:r>
      <w:r w:rsidRPr="00467480">
        <w:rPr>
          <w:b/>
          <w:bCs/>
          <w:highlight w:val="lightGray"/>
        </w:rPr>
        <w:t>Liability = 2.35% of Total Sick Leave Bucket</w:t>
      </w:r>
      <w:r w:rsidR="0080587E">
        <w:rPr>
          <w:b/>
          <w:bCs/>
          <w:highlight w:val="lightGray"/>
        </w:rPr>
        <w:t xml:space="preserve"> </w:t>
      </w:r>
      <w:proofErr w:type="gramStart"/>
      <w:r w:rsidR="0080587E">
        <w:rPr>
          <w:b/>
          <w:bCs/>
          <w:highlight w:val="lightGray"/>
        </w:rPr>
        <w:t>at</w:t>
      </w:r>
      <w:proofErr w:type="gramEnd"/>
      <w:r w:rsidR="0080587E">
        <w:rPr>
          <w:b/>
          <w:bCs/>
          <w:highlight w:val="lightGray"/>
        </w:rPr>
        <w:t xml:space="preserve"> June 30</w:t>
      </w:r>
    </w:p>
    <w:p w14:paraId="68A19771" w14:textId="77777777" w:rsidR="002A4635" w:rsidRPr="00467480" w:rsidRDefault="002A4635" w:rsidP="00467480">
      <w:pPr>
        <w:spacing w:after="0"/>
        <w:jc w:val="center"/>
        <w:rPr>
          <w:b/>
          <w:bCs/>
          <w:highlight w:val="lightGray"/>
        </w:rPr>
      </w:pPr>
    </w:p>
    <w:p w14:paraId="7D7E2E53" w14:textId="5B002F63" w:rsidR="002A4635" w:rsidRPr="00E94165" w:rsidRDefault="002A4635" w:rsidP="00467480">
      <w:pPr>
        <w:spacing w:after="0"/>
        <w:jc w:val="center"/>
        <w:rPr>
          <w:b/>
          <w:bCs/>
        </w:rPr>
      </w:pPr>
      <w:r w:rsidRPr="00467480">
        <w:rPr>
          <w:b/>
          <w:bCs/>
          <w:highlight w:val="lightGray"/>
        </w:rPr>
        <w:t xml:space="preserve">LIFO Total </w:t>
      </w:r>
      <w:r w:rsidR="00253863">
        <w:rPr>
          <w:b/>
          <w:bCs/>
          <w:highlight w:val="lightGray"/>
        </w:rPr>
        <w:t xml:space="preserve">Sick Leave </w:t>
      </w:r>
      <w:r w:rsidRPr="00467480">
        <w:rPr>
          <w:b/>
          <w:bCs/>
          <w:highlight w:val="lightGray"/>
        </w:rPr>
        <w:t xml:space="preserve">Liability = LIFO Current </w:t>
      </w:r>
      <w:proofErr w:type="gramStart"/>
      <w:r w:rsidRPr="00467480">
        <w:rPr>
          <w:b/>
          <w:bCs/>
          <w:highlight w:val="lightGray"/>
        </w:rPr>
        <w:t>Liability</w:t>
      </w:r>
      <w:r w:rsidR="00E94165" w:rsidRPr="00467480">
        <w:rPr>
          <w:b/>
          <w:bCs/>
          <w:highlight w:val="lightGray"/>
        </w:rPr>
        <w:t xml:space="preserve"> </w:t>
      </w:r>
      <w:r w:rsidRPr="00467480">
        <w:rPr>
          <w:b/>
          <w:bCs/>
          <w:highlight w:val="lightGray"/>
        </w:rPr>
        <w:t xml:space="preserve"> X</w:t>
      </w:r>
      <w:proofErr w:type="gramEnd"/>
      <w:r w:rsidRPr="00467480">
        <w:rPr>
          <w:b/>
          <w:bCs/>
          <w:highlight w:val="lightGray"/>
        </w:rPr>
        <w:t xml:space="preserve"> </w:t>
      </w:r>
      <w:r w:rsidR="00E94165" w:rsidRPr="00467480">
        <w:rPr>
          <w:b/>
          <w:bCs/>
          <w:highlight w:val="lightGray"/>
        </w:rPr>
        <w:t xml:space="preserve"> 7.6 Years of Service</w:t>
      </w:r>
    </w:p>
    <w:p w14:paraId="3F5931F3" w14:textId="77777777" w:rsidR="00245412" w:rsidRDefault="00245412" w:rsidP="00245412">
      <w:pPr>
        <w:spacing w:after="0"/>
      </w:pPr>
    </w:p>
    <w:p w14:paraId="203D0F7C" w14:textId="3261AA2A" w:rsidR="00E94165" w:rsidRDefault="00E94165" w:rsidP="00B8349B">
      <w:pPr>
        <w:spacing w:after="0"/>
        <w:ind w:left="450"/>
      </w:pPr>
      <w:r>
        <w:t xml:space="preserve">With this </w:t>
      </w:r>
      <w:r w:rsidR="00467480">
        <w:t xml:space="preserve">LIFO </w:t>
      </w:r>
      <w:r>
        <w:t xml:space="preserve">method </w:t>
      </w:r>
      <w:r w:rsidR="00467480">
        <w:t xml:space="preserve">to determine the sick leave liability, </w:t>
      </w:r>
      <w:r>
        <w:t xml:space="preserve">we use </w:t>
      </w:r>
      <w:r w:rsidR="001A7789">
        <w:t xml:space="preserve">three years to </w:t>
      </w:r>
      <w:proofErr w:type="gramStart"/>
      <w:r w:rsidR="001A7789">
        <w:t>trend</w:t>
      </w:r>
      <w:proofErr w:type="gramEnd"/>
      <w:r w:rsidR="001A7789">
        <w:t xml:space="preserve"> the </w:t>
      </w:r>
      <w:r w:rsidR="001E2376">
        <w:t>percentage</w:t>
      </w:r>
      <w:r w:rsidR="001A7789">
        <w:t xml:space="preserve"> of beginning balance hours used</w:t>
      </w:r>
      <w:r w:rsidR="00467480">
        <w:t xml:space="preserve">, and three years to </w:t>
      </w:r>
      <w:proofErr w:type="gramStart"/>
      <w:r w:rsidR="00467480">
        <w:t>trend</w:t>
      </w:r>
      <w:proofErr w:type="gramEnd"/>
      <w:r w:rsidR="00467480">
        <w:t xml:space="preserve"> the employee workforce years of service.</w:t>
      </w:r>
    </w:p>
    <w:sectPr w:rsidR="00E94165" w:rsidSect="003446D7">
      <w:pgSz w:w="12240" w:h="15840"/>
      <w:pgMar w:top="288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5D79E5"/>
    <w:multiLevelType w:val="hybridMultilevel"/>
    <w:tmpl w:val="5756D172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2398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412"/>
    <w:rsid w:val="00003B77"/>
    <w:rsid w:val="00032A6A"/>
    <w:rsid w:val="00042FD1"/>
    <w:rsid w:val="00053D0C"/>
    <w:rsid w:val="00065F3A"/>
    <w:rsid w:val="0009116F"/>
    <w:rsid w:val="000B4209"/>
    <w:rsid w:val="000B6F62"/>
    <w:rsid w:val="000C6F12"/>
    <w:rsid w:val="000D649D"/>
    <w:rsid w:val="000F5424"/>
    <w:rsid w:val="00134B8A"/>
    <w:rsid w:val="00142727"/>
    <w:rsid w:val="0016435D"/>
    <w:rsid w:val="001A365C"/>
    <w:rsid w:val="001A7789"/>
    <w:rsid w:val="001B0CB0"/>
    <w:rsid w:val="001D214F"/>
    <w:rsid w:val="001D2A85"/>
    <w:rsid w:val="001E2376"/>
    <w:rsid w:val="001F56F7"/>
    <w:rsid w:val="002069BB"/>
    <w:rsid w:val="0022724E"/>
    <w:rsid w:val="00245412"/>
    <w:rsid w:val="00253863"/>
    <w:rsid w:val="00271438"/>
    <w:rsid w:val="00276135"/>
    <w:rsid w:val="00282151"/>
    <w:rsid w:val="002A4635"/>
    <w:rsid w:val="002C4908"/>
    <w:rsid w:val="002D145D"/>
    <w:rsid w:val="002E50FD"/>
    <w:rsid w:val="003045C5"/>
    <w:rsid w:val="00321691"/>
    <w:rsid w:val="003446D7"/>
    <w:rsid w:val="003703BF"/>
    <w:rsid w:val="00371398"/>
    <w:rsid w:val="0039450B"/>
    <w:rsid w:val="00394D21"/>
    <w:rsid w:val="003C5E48"/>
    <w:rsid w:val="003E2AB6"/>
    <w:rsid w:val="003E4008"/>
    <w:rsid w:val="00402C09"/>
    <w:rsid w:val="004122FD"/>
    <w:rsid w:val="00441DBC"/>
    <w:rsid w:val="004512B9"/>
    <w:rsid w:val="00467480"/>
    <w:rsid w:val="004724B6"/>
    <w:rsid w:val="00472D66"/>
    <w:rsid w:val="0048635E"/>
    <w:rsid w:val="004B536D"/>
    <w:rsid w:val="004C727A"/>
    <w:rsid w:val="004D0448"/>
    <w:rsid w:val="004D6976"/>
    <w:rsid w:val="004E26D4"/>
    <w:rsid w:val="004F3E0B"/>
    <w:rsid w:val="00517D3F"/>
    <w:rsid w:val="0052624A"/>
    <w:rsid w:val="00532125"/>
    <w:rsid w:val="00567319"/>
    <w:rsid w:val="00593AD0"/>
    <w:rsid w:val="00593BE8"/>
    <w:rsid w:val="005A1115"/>
    <w:rsid w:val="005B3579"/>
    <w:rsid w:val="005F1795"/>
    <w:rsid w:val="00616CD5"/>
    <w:rsid w:val="006322D8"/>
    <w:rsid w:val="00697F0E"/>
    <w:rsid w:val="006C2C1A"/>
    <w:rsid w:val="006F28EA"/>
    <w:rsid w:val="006F5929"/>
    <w:rsid w:val="0072249F"/>
    <w:rsid w:val="00732AA9"/>
    <w:rsid w:val="00795493"/>
    <w:rsid w:val="00795E48"/>
    <w:rsid w:val="007A3DD5"/>
    <w:rsid w:val="007B00F0"/>
    <w:rsid w:val="007E2749"/>
    <w:rsid w:val="007F20C7"/>
    <w:rsid w:val="007F5D64"/>
    <w:rsid w:val="007F70DB"/>
    <w:rsid w:val="0080587E"/>
    <w:rsid w:val="0080693D"/>
    <w:rsid w:val="00824192"/>
    <w:rsid w:val="00840870"/>
    <w:rsid w:val="008435E8"/>
    <w:rsid w:val="00863F8D"/>
    <w:rsid w:val="00892A71"/>
    <w:rsid w:val="008B6732"/>
    <w:rsid w:val="008C2C6F"/>
    <w:rsid w:val="008C7BD3"/>
    <w:rsid w:val="008E1852"/>
    <w:rsid w:val="009032FE"/>
    <w:rsid w:val="0094071B"/>
    <w:rsid w:val="009525AB"/>
    <w:rsid w:val="009937EE"/>
    <w:rsid w:val="00996416"/>
    <w:rsid w:val="009A09AA"/>
    <w:rsid w:val="009A1D6F"/>
    <w:rsid w:val="009D77E8"/>
    <w:rsid w:val="009E7B75"/>
    <w:rsid w:val="009F64D1"/>
    <w:rsid w:val="00A174D5"/>
    <w:rsid w:val="00A27824"/>
    <w:rsid w:val="00A8071D"/>
    <w:rsid w:val="00AB6164"/>
    <w:rsid w:val="00AE46D3"/>
    <w:rsid w:val="00AE5742"/>
    <w:rsid w:val="00B8349B"/>
    <w:rsid w:val="00B9422C"/>
    <w:rsid w:val="00BC0D1A"/>
    <w:rsid w:val="00BE0260"/>
    <w:rsid w:val="00BE2774"/>
    <w:rsid w:val="00BF6D66"/>
    <w:rsid w:val="00C03493"/>
    <w:rsid w:val="00C10A32"/>
    <w:rsid w:val="00C40214"/>
    <w:rsid w:val="00C4592B"/>
    <w:rsid w:val="00C56161"/>
    <w:rsid w:val="00CA3D1F"/>
    <w:rsid w:val="00CE04D1"/>
    <w:rsid w:val="00D5591D"/>
    <w:rsid w:val="00D631FA"/>
    <w:rsid w:val="00E94165"/>
    <w:rsid w:val="00E94EE0"/>
    <w:rsid w:val="00EA4754"/>
    <w:rsid w:val="00EC5835"/>
    <w:rsid w:val="00EE1DDD"/>
    <w:rsid w:val="00F5096A"/>
    <w:rsid w:val="00F50A85"/>
    <w:rsid w:val="00F52D39"/>
    <w:rsid w:val="00F90261"/>
    <w:rsid w:val="00F90EC4"/>
    <w:rsid w:val="00F924B6"/>
    <w:rsid w:val="00F93D88"/>
    <w:rsid w:val="00FB0497"/>
    <w:rsid w:val="00FD4069"/>
    <w:rsid w:val="00FE3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7F5D6"/>
  <w15:chartTrackingRefBased/>
  <w15:docId w15:val="{522A2D34-C783-4B90-AF90-FF46EB5BA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54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54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54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54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54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54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54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54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54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54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54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54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54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54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54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54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54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54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54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54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54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54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54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54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54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54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54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54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541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748</Words>
  <Characters>4268</Characters>
  <Application>Microsoft Office Word</Application>
  <DocSecurity>0</DocSecurity>
  <Lines>35</Lines>
  <Paragraphs>10</Paragraphs>
  <ScaleCrop>false</ScaleCrop>
  <Company/>
  <LinksUpToDate>false</LinksUpToDate>
  <CharactersWithSpaces>5006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Barfield</dc:creator>
  <cp:keywords/>
  <dc:description/>
  <cp:lastModifiedBy>John Barfield</cp:lastModifiedBy>
  <cp:revision>145</cp:revision>
  <cp:lastPrinted>2025-05-14T12:51:00Z</cp:lastPrinted>
  <dcterms:created xsi:type="dcterms:W3CDTF">2025-05-13T17:29:00Z</dcterms:created>
  <dcterms:modified xsi:type="dcterms:W3CDTF">2025-05-14T14:59:00Z</dcterms:modified>
</cp:coreProperties>
</file>