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117B" w14:textId="53C6435D" w:rsidR="00281CDC" w:rsidRPr="00BC19D5" w:rsidRDefault="00281CDC" w:rsidP="00BC19D5">
      <w:pPr>
        <w:pStyle w:val="Heading1"/>
      </w:pPr>
      <w:r w:rsidRPr="00B924B1">
        <w:t>SAMPLE Checklist to Determine if Partner Entity is a Subrecipient or Contractor Classification for Purposes of the Uniform Guidance</w:t>
      </w:r>
    </w:p>
    <w:p w14:paraId="51D16E98" w14:textId="77777777" w:rsidR="00281CDC" w:rsidRDefault="00281CDC" w:rsidP="00B30D0E">
      <w:pPr>
        <w:pStyle w:val="Footer"/>
        <w:rPr>
          <w:rFonts w:cstheme="minorHAnsi"/>
          <w:i/>
          <w:iCs/>
          <w:sz w:val="20"/>
          <w:szCs w:val="20"/>
        </w:rPr>
      </w:pPr>
    </w:p>
    <w:p w14:paraId="3206F83F" w14:textId="2E5D7154" w:rsidR="00686254" w:rsidRPr="00B924B1" w:rsidRDefault="00686254" w:rsidP="00B30D0E">
      <w:pPr>
        <w:pStyle w:val="Footer"/>
        <w:rPr>
          <w:rFonts w:cstheme="minorHAnsi"/>
          <w:i/>
          <w:iCs/>
          <w:sz w:val="20"/>
          <w:szCs w:val="20"/>
        </w:rPr>
      </w:pPr>
      <w:r w:rsidRPr="00B924B1">
        <w:rPr>
          <w:rFonts w:cstheme="minorHAnsi"/>
          <w:i/>
          <w:iCs/>
          <w:sz w:val="20"/>
          <w:szCs w:val="20"/>
        </w:rPr>
        <w:t xml:space="preserve">The following is a sample checklist </w:t>
      </w:r>
      <w:r w:rsidR="00833E55" w:rsidRPr="00B924B1">
        <w:rPr>
          <w:rFonts w:cstheme="minorHAnsi"/>
          <w:i/>
          <w:iCs/>
          <w:sz w:val="20"/>
          <w:szCs w:val="20"/>
        </w:rPr>
        <w:t xml:space="preserve">for a NC local government </w:t>
      </w:r>
      <w:r w:rsidRPr="00B924B1">
        <w:rPr>
          <w:rFonts w:cstheme="minorHAnsi"/>
          <w:i/>
          <w:iCs/>
          <w:sz w:val="20"/>
          <w:szCs w:val="20"/>
        </w:rPr>
        <w:t>to determine i</w:t>
      </w:r>
      <w:r w:rsidR="00F81ED9" w:rsidRPr="00B924B1">
        <w:rPr>
          <w:rFonts w:cstheme="minorHAnsi"/>
          <w:i/>
          <w:iCs/>
          <w:sz w:val="20"/>
          <w:szCs w:val="20"/>
        </w:rPr>
        <w:t>f a partner entity is a subrecipient or contractor for purposes of the Uniform Guidance</w:t>
      </w:r>
      <w:r w:rsidR="00833E55" w:rsidRPr="00B924B1">
        <w:rPr>
          <w:rFonts w:cstheme="minorHAnsi"/>
          <w:i/>
          <w:iCs/>
          <w:sz w:val="20"/>
          <w:szCs w:val="20"/>
        </w:rPr>
        <w:t xml:space="preserve"> in administering the Coronavirus State and Local Fiscal Recovery Funds of the American Rescue Plan Act of 2021. It is adapted from a sample by the </w:t>
      </w:r>
      <w:hyperlink r:id="rId7" w:history="1">
        <w:r w:rsidR="00833E55" w:rsidRPr="00B924B1">
          <w:rPr>
            <w:rStyle w:val="Hyperlink"/>
            <w:rFonts w:cstheme="minorHAnsi"/>
            <w:i/>
            <w:iCs/>
            <w:sz w:val="20"/>
            <w:szCs w:val="20"/>
          </w:rPr>
          <w:t>Federal Demonstration Partnership</w:t>
        </w:r>
      </w:hyperlink>
      <w:r w:rsidR="00833E55" w:rsidRPr="00B924B1">
        <w:rPr>
          <w:rFonts w:cstheme="minorHAnsi"/>
          <w:i/>
          <w:iCs/>
          <w:sz w:val="20"/>
          <w:szCs w:val="20"/>
        </w:rPr>
        <w:t>.  A local government should review this sample with its attorney and make any necessary changes to conform with its grant management policies and procedures.</w:t>
      </w:r>
    </w:p>
    <w:p w14:paraId="1295684E" w14:textId="672DCFD6" w:rsidR="00BD1783" w:rsidRPr="00B924B1" w:rsidRDefault="000E481B" w:rsidP="00BD1783">
      <w:pPr>
        <w:spacing w:before="100" w:beforeAutospacing="1" w:after="100" w:afterAutospacing="1"/>
        <w:rPr>
          <w:rFonts w:eastAsia="Times New Roman" w:cstheme="minorHAnsi"/>
          <w:sz w:val="20"/>
          <w:szCs w:val="20"/>
        </w:rPr>
      </w:pPr>
      <w:r w:rsidRPr="00B924B1">
        <w:rPr>
          <w:rFonts w:eastAsia="Times New Roman" w:cstheme="minorHAnsi"/>
          <w:b/>
          <w:bCs/>
          <w:sz w:val="20"/>
          <w:szCs w:val="20"/>
        </w:rPr>
        <w:t>If a local government wishes to contract with another government entity or a private entity (nonprofit) and use ARP/CLFRF funds to pay for that contract, a</w:t>
      </w:r>
      <w:r w:rsidR="00BD1783" w:rsidRPr="00B924B1">
        <w:rPr>
          <w:rFonts w:eastAsia="Times New Roman" w:cstheme="minorHAnsi"/>
          <w:b/>
          <w:bCs/>
          <w:sz w:val="20"/>
          <w:szCs w:val="20"/>
        </w:rPr>
        <w:t xml:space="preserve"> </w:t>
      </w:r>
      <w:r w:rsidR="00B30D0E" w:rsidRPr="00B924B1">
        <w:rPr>
          <w:rFonts w:eastAsia="Times New Roman" w:cstheme="minorHAnsi"/>
          <w:b/>
          <w:bCs/>
          <w:sz w:val="20"/>
          <w:szCs w:val="20"/>
        </w:rPr>
        <w:t xml:space="preserve">local government </w:t>
      </w:r>
      <w:r w:rsidR="00BD1783" w:rsidRPr="00B924B1">
        <w:rPr>
          <w:rFonts w:eastAsia="Times New Roman" w:cstheme="minorHAnsi"/>
          <w:b/>
          <w:bCs/>
          <w:sz w:val="20"/>
          <w:szCs w:val="20"/>
        </w:rPr>
        <w:t xml:space="preserve">must determine if the relationship with </w:t>
      </w:r>
      <w:r w:rsidRPr="00B924B1">
        <w:rPr>
          <w:rFonts w:eastAsia="Times New Roman" w:cstheme="minorHAnsi"/>
          <w:b/>
          <w:bCs/>
          <w:sz w:val="20"/>
          <w:szCs w:val="20"/>
        </w:rPr>
        <w:t>the</w:t>
      </w:r>
      <w:r w:rsidR="00BD1783" w:rsidRPr="00B924B1">
        <w:rPr>
          <w:rFonts w:eastAsia="Times New Roman" w:cstheme="minorHAnsi"/>
          <w:b/>
          <w:bCs/>
          <w:sz w:val="20"/>
          <w:szCs w:val="20"/>
        </w:rPr>
        <w:t xml:space="preserve"> outside entity </w:t>
      </w:r>
      <w:r w:rsidR="006645C3" w:rsidRPr="00B924B1">
        <w:rPr>
          <w:rFonts w:eastAsia="Times New Roman" w:cstheme="minorHAnsi"/>
          <w:b/>
          <w:bCs/>
          <w:sz w:val="20"/>
          <w:szCs w:val="20"/>
        </w:rPr>
        <w:t>is</w:t>
      </w:r>
      <w:r w:rsidR="00BD1783" w:rsidRPr="00B924B1">
        <w:rPr>
          <w:rFonts w:eastAsia="Times New Roman" w:cstheme="minorHAnsi"/>
          <w:b/>
          <w:bCs/>
          <w:sz w:val="20"/>
          <w:szCs w:val="20"/>
        </w:rPr>
        <w:t xml:space="preserve"> a contractor or subrecipient. </w:t>
      </w:r>
      <w:r w:rsidR="00723D2A" w:rsidRPr="00B924B1">
        <w:rPr>
          <w:rFonts w:eastAsia="Times New Roman" w:cstheme="minorHAnsi"/>
          <w:sz w:val="20"/>
          <w:szCs w:val="20"/>
        </w:rPr>
        <w:t xml:space="preserve">To make this determination the local government </w:t>
      </w:r>
      <w:r w:rsidR="00723D2A" w:rsidRPr="00B924B1">
        <w:rPr>
          <w:rFonts w:eastAsia="Times New Roman" w:cstheme="minorHAnsi"/>
          <w:color w:val="FF0000"/>
          <w:sz w:val="20"/>
          <w:szCs w:val="20"/>
        </w:rPr>
        <w:t>[DESIGNATE LOCAL GOVERNMENT OFFICIAL OR EMPLOYEE HERE]</w:t>
      </w:r>
      <w:r w:rsidR="00BD1783" w:rsidRPr="00BD1783">
        <w:rPr>
          <w:rFonts w:eastAsia="Times New Roman" w:cstheme="minorHAnsi"/>
          <w:color w:val="FF0000"/>
          <w:sz w:val="20"/>
          <w:szCs w:val="20"/>
        </w:rPr>
        <w:t xml:space="preserve"> </w:t>
      </w:r>
      <w:r w:rsidR="00757D53" w:rsidRPr="00B924B1">
        <w:rPr>
          <w:rFonts w:eastAsia="Times New Roman" w:cstheme="minorHAnsi"/>
          <w:sz w:val="20"/>
          <w:szCs w:val="20"/>
        </w:rPr>
        <w:t>must</w:t>
      </w:r>
      <w:r w:rsidR="00BD1783" w:rsidRPr="00BD1783">
        <w:rPr>
          <w:rFonts w:eastAsia="Times New Roman" w:cstheme="minorHAnsi"/>
          <w:sz w:val="20"/>
          <w:szCs w:val="20"/>
        </w:rPr>
        <w:t xml:space="preserve"> review the proposal narrative, budget justification, and other related proposal documents, as well as </w:t>
      </w:r>
      <w:r w:rsidR="00757D53" w:rsidRPr="00B924B1">
        <w:rPr>
          <w:rFonts w:eastAsia="Times New Roman" w:cstheme="minorHAnsi"/>
          <w:sz w:val="20"/>
          <w:szCs w:val="20"/>
        </w:rPr>
        <w:t xml:space="preserve">engage in </w:t>
      </w:r>
      <w:r w:rsidR="00BD1783" w:rsidRPr="00BD1783">
        <w:rPr>
          <w:rFonts w:eastAsia="Times New Roman" w:cstheme="minorHAnsi"/>
          <w:sz w:val="20"/>
          <w:szCs w:val="20"/>
        </w:rPr>
        <w:t xml:space="preserve">discussions with key personnel prior to proposal submission. When the relationship remains unclear, this form may </w:t>
      </w:r>
      <w:r w:rsidR="00BD1783" w:rsidRPr="00B924B1">
        <w:rPr>
          <w:rFonts w:eastAsia="Times New Roman" w:cstheme="minorHAnsi"/>
          <w:sz w:val="20"/>
          <w:szCs w:val="20"/>
        </w:rPr>
        <w:t>aid</w:t>
      </w:r>
      <w:r w:rsidR="00BD1783" w:rsidRPr="00BD1783">
        <w:rPr>
          <w:rFonts w:eastAsia="Times New Roman" w:cstheme="minorHAnsi"/>
          <w:sz w:val="20"/>
          <w:szCs w:val="20"/>
        </w:rPr>
        <w:t xml:space="preserve"> in making an accurate determination. </w:t>
      </w:r>
    </w:p>
    <w:p w14:paraId="788254C2" w14:textId="23354568" w:rsidR="00BD1783" w:rsidRPr="00BD1783" w:rsidRDefault="00BD1783" w:rsidP="00BD1783">
      <w:pPr>
        <w:spacing w:before="100" w:beforeAutospacing="1" w:after="100" w:afterAutospacing="1"/>
        <w:rPr>
          <w:rFonts w:eastAsia="Times New Roman" w:cstheme="minorHAnsi"/>
          <w:sz w:val="20"/>
          <w:szCs w:val="20"/>
        </w:rPr>
      </w:pPr>
      <w:r w:rsidRPr="00BD1783">
        <w:rPr>
          <w:rFonts w:eastAsia="Times New Roman" w:cstheme="minorHAnsi"/>
          <w:b/>
          <w:bCs/>
          <w:sz w:val="20"/>
          <w:szCs w:val="20"/>
        </w:rPr>
        <w:t>DEFINITIONS FROM UNIFORM GUIDANCE (2 CFR</w:t>
      </w:r>
      <w:r w:rsidRPr="00B924B1">
        <w:rPr>
          <w:rFonts w:eastAsia="Times New Roman" w:cstheme="minorHAnsi"/>
          <w:b/>
          <w:bCs/>
          <w:sz w:val="20"/>
          <w:szCs w:val="20"/>
        </w:rPr>
        <w:t xml:space="preserve"> </w:t>
      </w:r>
      <w:r w:rsidRPr="00BD1783">
        <w:rPr>
          <w:rFonts w:eastAsia="Times New Roman" w:cstheme="minorHAnsi"/>
          <w:b/>
          <w:bCs/>
          <w:sz w:val="20"/>
          <w:szCs w:val="20"/>
        </w:rPr>
        <w:t xml:space="preserve">200): </w:t>
      </w:r>
    </w:p>
    <w:p w14:paraId="5C1E4DA8" w14:textId="6BD621D9" w:rsidR="00BD1783" w:rsidRPr="00B924B1" w:rsidRDefault="00BD1783" w:rsidP="00BD1783">
      <w:pPr>
        <w:ind w:left="1440" w:hanging="1440"/>
        <w:rPr>
          <w:rFonts w:eastAsia="Times New Roman" w:cstheme="minorHAnsi"/>
          <w:sz w:val="20"/>
          <w:szCs w:val="20"/>
        </w:rPr>
      </w:pPr>
      <w:r w:rsidRPr="00BD1783">
        <w:rPr>
          <w:rFonts w:eastAsia="Times New Roman" w:cstheme="minorHAnsi"/>
          <w:b/>
          <w:bCs/>
          <w:sz w:val="20"/>
          <w:szCs w:val="20"/>
        </w:rPr>
        <w:t xml:space="preserve">Subrecipient: </w:t>
      </w:r>
      <w:r w:rsidRPr="00B924B1">
        <w:rPr>
          <w:rFonts w:eastAsia="Times New Roman" w:cstheme="minorHAnsi"/>
          <w:b/>
          <w:bCs/>
          <w:sz w:val="20"/>
          <w:szCs w:val="20"/>
        </w:rPr>
        <w:tab/>
      </w:r>
      <w:r w:rsidRPr="00BD1783">
        <w:rPr>
          <w:rFonts w:eastAsia="Times New Roman" w:cstheme="minorHAnsi"/>
          <w:i/>
          <w:iCs/>
          <w:sz w:val="20"/>
          <w:szCs w:val="20"/>
        </w:rPr>
        <w:t xml:space="preserve">§200.93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w:t>
      </w:r>
    </w:p>
    <w:p w14:paraId="75E2A7D8" w14:textId="10DD6018" w:rsidR="00BD1783" w:rsidRPr="00B924B1" w:rsidRDefault="00BD1783" w:rsidP="006645C3">
      <w:pPr>
        <w:ind w:left="1440" w:hanging="1440"/>
        <w:rPr>
          <w:rFonts w:eastAsia="Times New Roman" w:cstheme="minorHAnsi"/>
          <w:sz w:val="20"/>
          <w:szCs w:val="20"/>
        </w:rPr>
      </w:pPr>
      <w:r w:rsidRPr="00BD1783">
        <w:rPr>
          <w:rFonts w:eastAsia="Times New Roman" w:cstheme="minorHAnsi"/>
          <w:b/>
          <w:bCs/>
          <w:sz w:val="20"/>
          <w:szCs w:val="20"/>
        </w:rPr>
        <w:t xml:space="preserve">Contractor: </w:t>
      </w:r>
      <w:r w:rsidRPr="00B924B1">
        <w:rPr>
          <w:rFonts w:eastAsia="Times New Roman" w:cstheme="minorHAnsi"/>
          <w:b/>
          <w:bCs/>
          <w:sz w:val="20"/>
          <w:szCs w:val="20"/>
        </w:rPr>
        <w:tab/>
      </w:r>
      <w:r w:rsidRPr="00BD1783">
        <w:rPr>
          <w:rFonts w:eastAsia="Times New Roman" w:cstheme="minorHAnsi"/>
          <w:i/>
          <w:iCs/>
          <w:sz w:val="20"/>
          <w:szCs w:val="20"/>
        </w:rPr>
        <w:t xml:space="preserve">§200.23 Contractor means an entity that receives a contract as defined in §200.22 </w:t>
      </w:r>
    </w:p>
    <w:p w14:paraId="1E6FA0C6" w14:textId="4DB47382" w:rsidR="00BD1783" w:rsidRPr="00BD1783" w:rsidRDefault="00BD1783" w:rsidP="00BD1783">
      <w:pPr>
        <w:ind w:left="1440" w:hanging="1440"/>
        <w:rPr>
          <w:rFonts w:eastAsia="Times New Roman" w:cstheme="minorHAnsi"/>
          <w:sz w:val="20"/>
          <w:szCs w:val="20"/>
        </w:rPr>
      </w:pPr>
      <w:r w:rsidRPr="00BD1783">
        <w:rPr>
          <w:rFonts w:eastAsia="Times New Roman" w:cstheme="minorHAnsi"/>
          <w:b/>
          <w:bCs/>
          <w:sz w:val="20"/>
          <w:szCs w:val="20"/>
        </w:rPr>
        <w:t>Contract</w:t>
      </w:r>
      <w:r w:rsidRPr="00B924B1">
        <w:rPr>
          <w:rFonts w:eastAsia="Times New Roman" w:cstheme="minorHAnsi"/>
          <w:b/>
          <w:bCs/>
          <w:sz w:val="20"/>
          <w:szCs w:val="20"/>
        </w:rPr>
        <w:t>:</w:t>
      </w:r>
      <w:r w:rsidRPr="00B924B1">
        <w:rPr>
          <w:rFonts w:eastAsia="Times New Roman" w:cstheme="minorHAnsi"/>
          <w:b/>
          <w:bCs/>
          <w:sz w:val="20"/>
          <w:szCs w:val="20"/>
        </w:rPr>
        <w:tab/>
      </w:r>
      <w:r w:rsidRPr="00BD1783">
        <w:rPr>
          <w:rFonts w:eastAsia="Times New Roman" w:cstheme="minorHAnsi"/>
          <w:i/>
          <w:iCs/>
          <w:sz w:val="20"/>
          <w:szCs w:val="20"/>
        </w:rPr>
        <w:t xml:space="preserve">§200.22 Contract means a legal instrument by which a non‐Federal entity purchases property or services needed to carry out the project or program under a Federal award. </w:t>
      </w:r>
    </w:p>
    <w:p w14:paraId="3B777BA9" w14:textId="083925E6" w:rsidR="00BD1783" w:rsidRPr="00BD1783" w:rsidRDefault="00BD1783" w:rsidP="00BD1783">
      <w:pPr>
        <w:spacing w:before="100" w:beforeAutospacing="1" w:after="100" w:afterAutospacing="1"/>
        <w:rPr>
          <w:rFonts w:eastAsia="Times New Roman" w:cstheme="minorHAnsi"/>
          <w:sz w:val="20"/>
          <w:szCs w:val="20"/>
        </w:rPr>
      </w:pPr>
      <w:r w:rsidRPr="00BD1783">
        <w:rPr>
          <w:rFonts w:eastAsia="Times New Roman" w:cstheme="minorHAnsi"/>
          <w:b/>
          <w:bCs/>
          <w:sz w:val="20"/>
          <w:szCs w:val="20"/>
        </w:rPr>
        <w:t xml:space="preserve">INSTRUCTIONS: </w:t>
      </w:r>
      <w:r w:rsidRPr="00BD1783">
        <w:rPr>
          <w:rFonts w:eastAsia="Times New Roman" w:cstheme="minorHAnsi"/>
          <w:sz w:val="20"/>
          <w:szCs w:val="20"/>
        </w:rPr>
        <w:t xml:space="preserve">Complete sections one and two of the checklist by marking all characteristics that apply to the outside entity. The section with the greatest number of marked characteristics indicates the likely type of relationship the entity will have with the </w:t>
      </w:r>
      <w:r w:rsidR="00A35D33" w:rsidRPr="00B924B1">
        <w:rPr>
          <w:rFonts w:eastAsia="Times New Roman" w:cstheme="minorHAnsi"/>
          <w:sz w:val="20"/>
          <w:szCs w:val="20"/>
        </w:rPr>
        <w:t>local government</w:t>
      </w:r>
      <w:r w:rsidRPr="00BD1783">
        <w:rPr>
          <w:rFonts w:eastAsia="Times New Roman" w:cstheme="minorHAnsi"/>
          <w:sz w:val="20"/>
          <w:szCs w:val="20"/>
        </w:rPr>
        <w:t xml:space="preserve">. On occasion there may be exceptions to the type of relationship indicated by the completed checklist. In these situations, the substance of the relationship should be given greater consideration than the form of agreement between the </w:t>
      </w:r>
      <w:r w:rsidR="00A35D33" w:rsidRPr="00B924B1">
        <w:rPr>
          <w:rFonts w:eastAsia="Times New Roman" w:cstheme="minorHAnsi"/>
          <w:sz w:val="20"/>
          <w:szCs w:val="20"/>
        </w:rPr>
        <w:t>local government</w:t>
      </w:r>
      <w:r w:rsidRPr="00BD1783">
        <w:rPr>
          <w:rFonts w:eastAsia="Times New Roman" w:cstheme="minorHAnsi"/>
          <w:sz w:val="20"/>
          <w:szCs w:val="20"/>
        </w:rPr>
        <w:t xml:space="preserve"> and the outside entity. Section 3 should be used to provide documentation on the use of judgment in determining the proper relationship classification. </w:t>
      </w:r>
    </w:p>
    <w:p w14:paraId="2899EFD2" w14:textId="77777777" w:rsidR="00960532" w:rsidRDefault="00960532" w:rsidP="00BD1783">
      <w:pPr>
        <w:spacing w:before="100" w:beforeAutospacing="1" w:after="100" w:afterAutospacing="1"/>
        <w:rPr>
          <w:rFonts w:eastAsia="Times New Roman" w:cstheme="minorHAnsi"/>
          <w:b/>
          <w:bCs/>
        </w:rPr>
      </w:pPr>
    </w:p>
    <w:p w14:paraId="656AD760" w14:textId="77777777" w:rsidR="00960532" w:rsidRDefault="00960532" w:rsidP="00BD1783">
      <w:pPr>
        <w:spacing w:before="100" w:beforeAutospacing="1" w:after="100" w:afterAutospacing="1"/>
        <w:rPr>
          <w:rFonts w:eastAsia="Times New Roman" w:cstheme="minorHAnsi"/>
          <w:b/>
          <w:bCs/>
        </w:rPr>
      </w:pPr>
    </w:p>
    <w:p w14:paraId="0D389644" w14:textId="77777777" w:rsidR="00B924B1" w:rsidRDefault="00B924B1" w:rsidP="00BD1783">
      <w:pPr>
        <w:spacing w:before="100" w:beforeAutospacing="1" w:after="100" w:afterAutospacing="1"/>
        <w:rPr>
          <w:rFonts w:eastAsia="Times New Roman" w:cstheme="minorHAnsi"/>
          <w:b/>
          <w:bCs/>
          <w:sz w:val="20"/>
          <w:szCs w:val="20"/>
        </w:rPr>
      </w:pPr>
    </w:p>
    <w:p w14:paraId="68AAC46D" w14:textId="77777777" w:rsidR="00B924B1" w:rsidRDefault="00B924B1" w:rsidP="00BD1783">
      <w:pPr>
        <w:spacing w:before="100" w:beforeAutospacing="1" w:after="100" w:afterAutospacing="1"/>
        <w:rPr>
          <w:rFonts w:eastAsia="Times New Roman" w:cstheme="minorHAnsi"/>
          <w:b/>
          <w:bCs/>
          <w:sz w:val="20"/>
          <w:szCs w:val="20"/>
        </w:rPr>
      </w:pPr>
    </w:p>
    <w:p w14:paraId="4A258712" w14:textId="77777777" w:rsidR="00B924B1" w:rsidRDefault="00B924B1" w:rsidP="00BD1783">
      <w:pPr>
        <w:spacing w:before="100" w:beforeAutospacing="1" w:after="100" w:afterAutospacing="1"/>
        <w:rPr>
          <w:rFonts w:eastAsia="Times New Roman" w:cstheme="minorHAnsi"/>
          <w:b/>
          <w:bCs/>
          <w:sz w:val="20"/>
          <w:szCs w:val="20"/>
        </w:rPr>
      </w:pPr>
    </w:p>
    <w:p w14:paraId="3398E842" w14:textId="77777777" w:rsidR="00BC19D5" w:rsidRDefault="00BC19D5" w:rsidP="00BD1783">
      <w:pPr>
        <w:spacing w:before="100" w:beforeAutospacing="1" w:after="100" w:afterAutospacing="1"/>
        <w:rPr>
          <w:rFonts w:eastAsia="Times New Roman" w:cstheme="minorHAnsi"/>
          <w:b/>
          <w:bCs/>
          <w:sz w:val="20"/>
          <w:szCs w:val="20"/>
        </w:rPr>
      </w:pPr>
    </w:p>
    <w:p w14:paraId="71CFD0EB" w14:textId="4967F117" w:rsidR="00BD1783" w:rsidRPr="00BD1783" w:rsidRDefault="00BD1783" w:rsidP="00BD1783">
      <w:pPr>
        <w:spacing w:before="100" w:beforeAutospacing="1" w:after="100" w:afterAutospacing="1"/>
        <w:rPr>
          <w:rFonts w:eastAsia="Times New Roman" w:cstheme="minorHAnsi"/>
          <w:sz w:val="20"/>
          <w:szCs w:val="20"/>
        </w:rPr>
      </w:pPr>
      <w:r w:rsidRPr="00BD1783">
        <w:rPr>
          <w:rFonts w:eastAsia="Times New Roman" w:cstheme="minorHAnsi"/>
          <w:b/>
          <w:bCs/>
          <w:sz w:val="20"/>
          <w:szCs w:val="20"/>
        </w:rPr>
        <w:lastRenderedPageBreak/>
        <w:t xml:space="preserve">NAME OF OUTSIDE ENTITY: </w:t>
      </w:r>
    </w:p>
    <w:p w14:paraId="18DC4E92" w14:textId="06F8377F" w:rsidR="00BD1783" w:rsidRPr="00BD1783" w:rsidRDefault="00BD1783" w:rsidP="00BD1783">
      <w:pPr>
        <w:spacing w:before="100" w:beforeAutospacing="1" w:after="100" w:afterAutospacing="1"/>
        <w:rPr>
          <w:rFonts w:eastAsia="Times New Roman" w:cstheme="minorHAnsi"/>
          <w:sz w:val="20"/>
          <w:szCs w:val="20"/>
        </w:rPr>
      </w:pPr>
      <w:r w:rsidRPr="00BD1783">
        <w:rPr>
          <w:rFonts w:eastAsia="Times New Roman" w:cstheme="minorHAnsi"/>
          <w:b/>
          <w:bCs/>
          <w:sz w:val="20"/>
          <w:szCs w:val="20"/>
        </w:rPr>
        <w:t>SECTION 1 ‐ SUBRECIPIENT</w:t>
      </w:r>
      <w:r w:rsidR="00DD5742">
        <w:rPr>
          <w:rFonts w:eastAsia="Times New Roman" w:cstheme="minorHAnsi"/>
          <w:b/>
          <w:bCs/>
          <w:sz w:val="20"/>
          <w:szCs w:val="20"/>
        </w:rPr>
        <w:t xml:space="preserve">. </w:t>
      </w:r>
      <w:r w:rsidRPr="00BD1783">
        <w:rPr>
          <w:rFonts w:eastAsia="Times New Roman" w:cstheme="minorHAnsi"/>
          <w:i/>
          <w:iCs/>
          <w:sz w:val="20"/>
          <w:szCs w:val="20"/>
        </w:rPr>
        <w:t>A subaward is for the purpose of carrying out a portion of a Federal award and creates a Federal assistance relationship with the subrecipient. Characteristics which support the classification of the non‐Federal entity as a subrecipient include when the contra</w:t>
      </w:r>
      <w:r w:rsidR="00DD5742">
        <w:rPr>
          <w:rFonts w:eastAsia="Times New Roman" w:cstheme="minorHAnsi"/>
          <w:i/>
          <w:iCs/>
          <w:sz w:val="20"/>
          <w:szCs w:val="20"/>
        </w:rPr>
        <w:t>c</w:t>
      </w:r>
      <w:r w:rsidRPr="00BD1783">
        <w:rPr>
          <w:rFonts w:eastAsia="Times New Roman" w:cstheme="minorHAnsi"/>
          <w:i/>
          <w:iCs/>
          <w:sz w:val="20"/>
          <w:szCs w:val="20"/>
        </w:rPr>
        <w:t xml:space="preserve">tor: </w:t>
      </w:r>
    </w:p>
    <w:p w14:paraId="56BEFA06" w14:textId="77777777" w:rsidR="00BD1783" w:rsidRPr="00BD1783" w:rsidRDefault="00BD1783" w:rsidP="00BD1783">
      <w:pPr>
        <w:numPr>
          <w:ilvl w:val="0"/>
          <w:numId w:val="4"/>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Determines who is eligible to receive what Federal assistance; </w:t>
      </w:r>
    </w:p>
    <w:p w14:paraId="778AA0DA" w14:textId="77777777" w:rsidR="00BD1783" w:rsidRPr="00BD1783" w:rsidRDefault="00BD1783" w:rsidP="00BD1783">
      <w:pPr>
        <w:numPr>
          <w:ilvl w:val="0"/>
          <w:numId w:val="4"/>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Has its performance measured in relation to whether objectives of a Federal program were met; </w:t>
      </w:r>
    </w:p>
    <w:p w14:paraId="1C49C1E2" w14:textId="0E7114D7" w:rsidR="00BD1783" w:rsidRPr="00BD1783" w:rsidRDefault="00BD1783" w:rsidP="00BD1783">
      <w:pPr>
        <w:numPr>
          <w:ilvl w:val="0"/>
          <w:numId w:val="4"/>
        </w:numPr>
        <w:spacing w:before="100" w:beforeAutospacing="1" w:after="100" w:afterAutospacing="1"/>
        <w:rPr>
          <w:rFonts w:eastAsia="Times New Roman" w:cstheme="minorHAnsi"/>
          <w:sz w:val="20"/>
          <w:szCs w:val="20"/>
        </w:rPr>
      </w:pPr>
      <w:r w:rsidRPr="00BD1783">
        <w:rPr>
          <w:rFonts w:eastAsia="Times New Roman" w:cstheme="minorHAnsi"/>
          <w:sz w:val="20"/>
          <w:szCs w:val="20"/>
        </w:rPr>
        <w:t>Has responsibility for programmatic decision</w:t>
      </w:r>
      <w:r w:rsidR="00590C07">
        <w:rPr>
          <w:rFonts w:eastAsia="Times New Roman" w:cstheme="minorHAnsi"/>
          <w:sz w:val="20"/>
          <w:szCs w:val="20"/>
        </w:rPr>
        <w:t>-</w:t>
      </w:r>
      <w:r w:rsidRPr="00BD1783">
        <w:rPr>
          <w:rFonts w:eastAsia="Times New Roman" w:cstheme="minorHAnsi"/>
          <w:sz w:val="20"/>
          <w:szCs w:val="20"/>
        </w:rPr>
        <w:t xml:space="preserve">making; </w:t>
      </w:r>
    </w:p>
    <w:p w14:paraId="1DF828C5" w14:textId="77777777" w:rsidR="00960532" w:rsidRDefault="00BD1783" w:rsidP="00115953">
      <w:pPr>
        <w:numPr>
          <w:ilvl w:val="0"/>
          <w:numId w:val="4"/>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In accordance with its agreement, uses the Federal funds to carry out a program for a public purpose specified in authorizing statute, as opposed to providing goods or services for the benefit of the pass‐through entity. </w:t>
      </w:r>
    </w:p>
    <w:p w14:paraId="111B05D9" w14:textId="2201110F" w:rsidR="00BD1783" w:rsidRPr="00BD1783" w:rsidRDefault="00BD1783" w:rsidP="00960532">
      <w:pPr>
        <w:spacing w:before="100" w:beforeAutospacing="1" w:after="100" w:afterAutospacing="1"/>
        <w:rPr>
          <w:rFonts w:eastAsia="Times New Roman" w:cstheme="minorHAnsi"/>
          <w:sz w:val="20"/>
          <w:szCs w:val="20"/>
        </w:rPr>
      </w:pPr>
      <w:r w:rsidRPr="00BD1783">
        <w:rPr>
          <w:rFonts w:eastAsia="Times New Roman" w:cstheme="minorHAnsi"/>
          <w:i/>
          <w:iCs/>
          <w:sz w:val="20"/>
          <w:szCs w:val="20"/>
        </w:rPr>
        <w:t xml:space="preserve">Entities that include these characteristics are responsible for adherence to applicable Federal program requirements specified in the Federal award. </w:t>
      </w:r>
    </w:p>
    <w:p w14:paraId="4F5E8F1C" w14:textId="4FF28CFD" w:rsidR="00BD1783" w:rsidRPr="00BD1783" w:rsidRDefault="00BD1783" w:rsidP="00BD1783">
      <w:pPr>
        <w:spacing w:before="100" w:beforeAutospacing="1" w:after="100" w:afterAutospacing="1"/>
        <w:rPr>
          <w:rFonts w:eastAsia="Times New Roman" w:cstheme="minorHAnsi"/>
          <w:sz w:val="20"/>
          <w:szCs w:val="20"/>
        </w:rPr>
      </w:pPr>
      <w:r w:rsidRPr="00BD1783">
        <w:rPr>
          <w:rFonts w:eastAsia="Times New Roman" w:cstheme="minorHAnsi"/>
          <w:b/>
          <w:bCs/>
          <w:sz w:val="20"/>
          <w:szCs w:val="20"/>
        </w:rPr>
        <w:t>SECTION 2 ‐ CONTRACTOR</w:t>
      </w:r>
      <w:r w:rsidR="00DD5742">
        <w:rPr>
          <w:rFonts w:eastAsia="Times New Roman" w:cstheme="minorHAnsi"/>
          <w:b/>
          <w:bCs/>
          <w:sz w:val="20"/>
          <w:szCs w:val="20"/>
        </w:rPr>
        <w:t xml:space="preserve">. </w:t>
      </w:r>
      <w:r w:rsidRPr="00BD1783">
        <w:rPr>
          <w:rFonts w:eastAsia="Times New Roman" w:cstheme="minorHAnsi"/>
          <w:i/>
          <w:iCs/>
          <w:sz w:val="20"/>
          <w:szCs w:val="20"/>
        </w:rPr>
        <w:t xml:space="preserve">A contract is for the purpose of obtaining goods and services for the non‐Federal entity's own use and creates a procurement relationship with the contractor. Characteristics indicative of a procurement relationship between the non‐Federal entity and a contractor are when the non‐Federal entity receiving the Federal funds: </w:t>
      </w:r>
    </w:p>
    <w:p w14:paraId="076FFF6F" w14:textId="2E8B8E73" w:rsidR="00444A8D" w:rsidRDefault="00444A8D" w:rsidP="00115953">
      <w:pPr>
        <w:numPr>
          <w:ilvl w:val="0"/>
          <w:numId w:val="5"/>
        </w:numPr>
        <w:spacing w:before="100" w:beforeAutospacing="1" w:after="100" w:afterAutospacing="1"/>
        <w:rPr>
          <w:rFonts w:eastAsia="Times New Roman" w:cstheme="minorHAnsi"/>
          <w:sz w:val="20"/>
          <w:szCs w:val="20"/>
        </w:rPr>
      </w:pPr>
      <w:r>
        <w:rPr>
          <w:rFonts w:eastAsia="Times New Roman" w:cstheme="minorHAnsi"/>
          <w:sz w:val="20"/>
          <w:szCs w:val="20"/>
        </w:rPr>
        <w:t>Procurement relationship</w:t>
      </w:r>
    </w:p>
    <w:p w14:paraId="79A4F950" w14:textId="4FB254E7" w:rsidR="00BD1783" w:rsidRPr="00BD1783" w:rsidRDefault="00BD1783" w:rsidP="00115953">
      <w:pPr>
        <w:numPr>
          <w:ilvl w:val="0"/>
          <w:numId w:val="5"/>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Provides the goods and services within normal business operations; </w:t>
      </w:r>
    </w:p>
    <w:p w14:paraId="48FD7197" w14:textId="77777777" w:rsidR="00BD1783" w:rsidRPr="00BD1783" w:rsidRDefault="00BD1783" w:rsidP="00115953">
      <w:pPr>
        <w:numPr>
          <w:ilvl w:val="0"/>
          <w:numId w:val="5"/>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Provides similar goods or services to many different purchasers; </w:t>
      </w:r>
    </w:p>
    <w:p w14:paraId="3DFB8DB0" w14:textId="77777777" w:rsidR="00BD1783" w:rsidRPr="00BD1783" w:rsidRDefault="00BD1783" w:rsidP="00115953">
      <w:pPr>
        <w:numPr>
          <w:ilvl w:val="0"/>
          <w:numId w:val="5"/>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Normally operates in a competitive environment; </w:t>
      </w:r>
    </w:p>
    <w:p w14:paraId="76777EFD" w14:textId="77777777" w:rsidR="00BD1783" w:rsidRPr="00BD1783" w:rsidRDefault="00BD1783" w:rsidP="00115953">
      <w:pPr>
        <w:numPr>
          <w:ilvl w:val="0"/>
          <w:numId w:val="5"/>
        </w:numPr>
        <w:spacing w:before="100" w:beforeAutospacing="1" w:after="100" w:afterAutospacing="1"/>
        <w:rPr>
          <w:rFonts w:eastAsia="Times New Roman" w:cstheme="minorHAnsi"/>
          <w:sz w:val="20"/>
          <w:szCs w:val="20"/>
        </w:rPr>
      </w:pPr>
      <w:r w:rsidRPr="00BD1783">
        <w:rPr>
          <w:rFonts w:eastAsia="Times New Roman" w:cstheme="minorHAnsi"/>
          <w:sz w:val="20"/>
          <w:szCs w:val="20"/>
        </w:rPr>
        <w:t xml:space="preserve">Provides goods or services that are ancillary to the operation of the Federal program. </w:t>
      </w:r>
    </w:p>
    <w:p w14:paraId="614F98E2" w14:textId="70424F3E" w:rsidR="00BD1783" w:rsidRPr="00BD1783" w:rsidRDefault="00BD1783" w:rsidP="00115953">
      <w:pPr>
        <w:spacing w:before="100" w:beforeAutospacing="1" w:after="100" w:afterAutospacing="1"/>
        <w:rPr>
          <w:rFonts w:eastAsia="Times New Roman" w:cstheme="minorHAnsi"/>
          <w:sz w:val="20"/>
          <w:szCs w:val="20"/>
        </w:rPr>
      </w:pPr>
      <w:r w:rsidRPr="00BD1783">
        <w:rPr>
          <w:rFonts w:eastAsia="Times New Roman" w:cstheme="minorHAnsi"/>
          <w:i/>
          <w:iCs/>
          <w:sz w:val="20"/>
          <w:szCs w:val="20"/>
        </w:rPr>
        <w:t xml:space="preserve">Entities that include these characteristics are not subject to compliance requirements of the Federal program </w:t>
      </w:r>
      <w:r w:rsidR="00C964AD" w:rsidRPr="00BD1783">
        <w:rPr>
          <w:rFonts w:eastAsia="Times New Roman" w:cstheme="minorHAnsi"/>
          <w:i/>
          <w:iCs/>
          <w:sz w:val="20"/>
          <w:szCs w:val="20"/>
        </w:rPr>
        <w:t>because of</w:t>
      </w:r>
      <w:r w:rsidRPr="00BD1783">
        <w:rPr>
          <w:rFonts w:eastAsia="Times New Roman" w:cstheme="minorHAnsi"/>
          <w:i/>
          <w:iCs/>
          <w:sz w:val="20"/>
          <w:szCs w:val="20"/>
        </w:rPr>
        <w:t xml:space="preserve"> the agreement, though similar requirements may apply for other reasons. </w:t>
      </w:r>
    </w:p>
    <w:p w14:paraId="4CB730D3" w14:textId="4AF23031" w:rsidR="00DD5742" w:rsidRDefault="00BD1783" w:rsidP="00BD1783">
      <w:pPr>
        <w:spacing w:before="100" w:beforeAutospacing="1" w:after="100" w:afterAutospacing="1"/>
        <w:rPr>
          <w:rFonts w:eastAsia="Times New Roman" w:cstheme="minorHAnsi"/>
          <w:i/>
          <w:iCs/>
          <w:sz w:val="20"/>
          <w:szCs w:val="20"/>
        </w:rPr>
      </w:pPr>
      <w:r w:rsidRPr="00BD1783">
        <w:rPr>
          <w:rFonts w:eastAsia="Times New Roman" w:cstheme="minorHAnsi"/>
          <w:b/>
          <w:bCs/>
          <w:sz w:val="20"/>
          <w:szCs w:val="20"/>
        </w:rPr>
        <w:t>SECTION 3 ‐ USE OF JUDGMENT</w:t>
      </w:r>
      <w:r w:rsidR="00DD5742">
        <w:rPr>
          <w:rFonts w:eastAsia="Times New Roman" w:cstheme="minorHAnsi"/>
          <w:b/>
          <w:bCs/>
          <w:sz w:val="20"/>
          <w:szCs w:val="20"/>
        </w:rPr>
        <w:t>.</w:t>
      </w:r>
      <w:r w:rsidRPr="00BD1783">
        <w:rPr>
          <w:rFonts w:eastAsia="Times New Roman" w:cstheme="minorHAnsi"/>
          <w:b/>
          <w:bCs/>
          <w:sz w:val="20"/>
          <w:szCs w:val="20"/>
        </w:rPr>
        <w:t xml:space="preserve"> </w:t>
      </w:r>
      <w:r w:rsidRPr="00BD1783">
        <w:rPr>
          <w:rFonts w:eastAsia="Times New Roman" w:cstheme="minorHAnsi"/>
          <w:sz w:val="20"/>
          <w:szCs w:val="20"/>
        </w:rPr>
        <w:t>(</w:t>
      </w:r>
      <w:r w:rsidR="00462166" w:rsidRPr="00BD1783">
        <w:rPr>
          <w:rFonts w:eastAsia="Times New Roman" w:cstheme="minorHAnsi"/>
          <w:sz w:val="20"/>
          <w:szCs w:val="20"/>
        </w:rPr>
        <w:t>Use</w:t>
      </w:r>
      <w:r w:rsidRPr="00BD1783">
        <w:rPr>
          <w:rFonts w:eastAsia="Times New Roman" w:cstheme="minorHAnsi"/>
          <w:sz w:val="20"/>
          <w:szCs w:val="20"/>
        </w:rPr>
        <w:t xml:space="preserve"> only when the determination cannot clearly be made using the above criteria)</w:t>
      </w:r>
      <w:r w:rsidRPr="00BD1783">
        <w:rPr>
          <w:rFonts w:eastAsia="Times New Roman" w:cstheme="minorHAnsi"/>
          <w:i/>
          <w:iCs/>
          <w:sz w:val="20"/>
          <w:szCs w:val="20"/>
        </w:rPr>
        <w:t xml:space="preserve"> In determining whether an agreement between a pass‐through entity and another non‐Federal entity casts the</w:t>
      </w:r>
      <w:r w:rsidR="00DD5742">
        <w:rPr>
          <w:rFonts w:eastAsia="Times New Roman" w:cstheme="minorHAnsi"/>
          <w:i/>
          <w:iCs/>
          <w:sz w:val="20"/>
          <w:szCs w:val="20"/>
        </w:rPr>
        <w:t xml:space="preserve"> </w:t>
      </w:r>
      <w:r w:rsidRPr="00BD1783">
        <w:rPr>
          <w:rFonts w:eastAsia="Times New Roman" w:cstheme="minorHAnsi"/>
          <w:i/>
          <w:iCs/>
          <w:sz w:val="20"/>
          <w:szCs w:val="20"/>
        </w:rPr>
        <w:t xml:space="preserve">latter as a subrecipient or a contractor, the substance of the relationship is more important than the form of the agreement. </w:t>
      </w:r>
      <w:r w:rsidR="00462166" w:rsidRPr="00BD1783">
        <w:rPr>
          <w:rFonts w:eastAsia="Times New Roman" w:cstheme="minorHAnsi"/>
          <w:i/>
          <w:iCs/>
          <w:sz w:val="20"/>
          <w:szCs w:val="20"/>
        </w:rPr>
        <w:t>All</w:t>
      </w:r>
      <w:r w:rsidR="00DD5742">
        <w:rPr>
          <w:rFonts w:eastAsia="Times New Roman" w:cstheme="minorHAnsi"/>
          <w:i/>
          <w:iCs/>
          <w:sz w:val="20"/>
          <w:szCs w:val="20"/>
        </w:rPr>
        <w:t xml:space="preserve"> </w:t>
      </w:r>
      <w:r w:rsidRPr="00BD1783">
        <w:rPr>
          <w:rFonts w:eastAsia="Times New Roman" w:cstheme="minorHAnsi"/>
          <w:i/>
          <w:iCs/>
          <w:sz w:val="20"/>
          <w:szCs w:val="20"/>
        </w:rPr>
        <w:t xml:space="preserve">the characteristics listed above may not be present in all cases, and the pass‐through entity must use judgment in classifying each agreement as a subaward or a procurement contract. </w:t>
      </w:r>
    </w:p>
    <w:p w14:paraId="6930676F" w14:textId="6F4849FA" w:rsidR="00DD5742" w:rsidRDefault="00BD1783" w:rsidP="00FF7521">
      <w:pPr>
        <w:spacing w:before="100" w:beforeAutospacing="1" w:after="100" w:afterAutospacing="1"/>
        <w:rPr>
          <w:rFonts w:eastAsia="Times New Roman" w:cstheme="minorHAnsi"/>
          <w:i/>
          <w:iCs/>
          <w:sz w:val="20"/>
          <w:szCs w:val="20"/>
        </w:rPr>
      </w:pPr>
      <w:r w:rsidRPr="00BD1783">
        <w:rPr>
          <w:rFonts w:eastAsia="Times New Roman" w:cstheme="minorHAnsi"/>
          <w:i/>
          <w:iCs/>
          <w:sz w:val="20"/>
          <w:szCs w:val="20"/>
        </w:rPr>
        <w:t xml:space="preserve">Explanation of Use of Judgment Determination: </w:t>
      </w:r>
    </w:p>
    <w:p w14:paraId="5418402A" w14:textId="77777777" w:rsidR="00BF6AA5" w:rsidRPr="00E8143A" w:rsidRDefault="00BF6AA5" w:rsidP="00FF7521">
      <w:pPr>
        <w:spacing w:before="100" w:beforeAutospacing="1" w:after="100" w:afterAutospacing="1"/>
        <w:rPr>
          <w:rFonts w:eastAsia="Times New Roman" w:cstheme="minorHAnsi"/>
          <w:i/>
          <w:iCs/>
          <w:sz w:val="20"/>
          <w:szCs w:val="20"/>
        </w:rPr>
      </w:pPr>
    </w:p>
    <w:p w14:paraId="7E13DA73" w14:textId="5AB057A6" w:rsidR="00B924B1" w:rsidRDefault="00B924B1" w:rsidP="00DD5742">
      <w:pPr>
        <w:rPr>
          <w:rFonts w:eastAsia="Times New Roman" w:cstheme="minorHAnsi"/>
          <w:b/>
          <w:bCs/>
          <w:sz w:val="10"/>
          <w:szCs w:val="10"/>
        </w:rPr>
      </w:pPr>
    </w:p>
    <w:p w14:paraId="3A1F6E78" w14:textId="77777777" w:rsidR="00B924B1" w:rsidRPr="00B924B1" w:rsidRDefault="00B924B1" w:rsidP="00DD5742">
      <w:pPr>
        <w:rPr>
          <w:rFonts w:eastAsia="Times New Roman" w:cstheme="minorHAnsi"/>
          <w:b/>
          <w:bCs/>
          <w:sz w:val="10"/>
          <w:szCs w:val="10"/>
        </w:rPr>
      </w:pPr>
    </w:p>
    <w:p w14:paraId="6BF99E41" w14:textId="142AAD33" w:rsidR="00FF7521" w:rsidRDefault="00FF7521" w:rsidP="00DD5742">
      <w:pPr>
        <w:rPr>
          <w:rFonts w:eastAsia="Times New Roman" w:cstheme="minorHAnsi"/>
          <w:b/>
          <w:bCs/>
          <w:sz w:val="20"/>
          <w:szCs w:val="20"/>
        </w:rPr>
      </w:pPr>
      <w:r w:rsidRPr="00BD1783">
        <w:rPr>
          <w:rFonts w:eastAsia="Times New Roman" w:cstheme="minorHAnsi"/>
          <w:b/>
          <w:bCs/>
          <w:sz w:val="20"/>
          <w:szCs w:val="20"/>
        </w:rPr>
        <w:t>FINAL DETERMINATION:</w:t>
      </w:r>
    </w:p>
    <w:p w14:paraId="44434216" w14:textId="77777777" w:rsidR="00FE70DD" w:rsidRPr="00DD5742" w:rsidRDefault="00FE70DD" w:rsidP="00DD5742">
      <w:pPr>
        <w:rPr>
          <w:rFonts w:eastAsia="Times New Roman" w:cstheme="minorHAnsi"/>
          <w:b/>
          <w:bCs/>
          <w:sz w:val="20"/>
          <w:szCs w:val="20"/>
        </w:rPr>
      </w:pPr>
    </w:p>
    <w:p w14:paraId="553912BB" w14:textId="2E62929B" w:rsidR="00FE70DD" w:rsidRPr="00FE70DD" w:rsidRDefault="00FF7521" w:rsidP="00FE70DD">
      <w:pPr>
        <w:pStyle w:val="ListParagraph"/>
        <w:numPr>
          <w:ilvl w:val="0"/>
          <w:numId w:val="6"/>
        </w:numPr>
        <w:rPr>
          <w:rFonts w:eastAsia="Times New Roman" w:cstheme="minorHAnsi"/>
          <w:sz w:val="20"/>
          <w:szCs w:val="20"/>
        </w:rPr>
      </w:pPr>
      <w:r w:rsidRPr="00DD5742">
        <w:rPr>
          <w:rFonts w:eastAsia="Times New Roman" w:cstheme="minorHAnsi"/>
          <w:b/>
          <w:bCs/>
          <w:sz w:val="20"/>
          <w:szCs w:val="20"/>
        </w:rPr>
        <w:t>SUBRECIPIENT</w:t>
      </w:r>
    </w:p>
    <w:p w14:paraId="41CFE0C0" w14:textId="77777777" w:rsidR="00FF7521" w:rsidRPr="00DD5742" w:rsidRDefault="00FF7521" w:rsidP="00DD5742">
      <w:pPr>
        <w:pStyle w:val="ListParagraph"/>
        <w:numPr>
          <w:ilvl w:val="0"/>
          <w:numId w:val="6"/>
        </w:numPr>
        <w:rPr>
          <w:rFonts w:eastAsia="Times New Roman" w:cstheme="minorHAnsi"/>
          <w:sz w:val="20"/>
          <w:szCs w:val="20"/>
        </w:rPr>
      </w:pPr>
      <w:r w:rsidRPr="00DD5742">
        <w:rPr>
          <w:rFonts w:eastAsia="Times New Roman" w:cstheme="minorHAnsi"/>
          <w:b/>
          <w:bCs/>
          <w:sz w:val="20"/>
          <w:szCs w:val="20"/>
        </w:rPr>
        <w:t xml:space="preserve">CONTRACTOR </w:t>
      </w:r>
    </w:p>
    <w:p w14:paraId="0BC9F167" w14:textId="792CAE4E" w:rsidR="00FF7521" w:rsidRPr="00DD5742" w:rsidRDefault="00BF6AA5" w:rsidP="00BD1783">
      <w:pPr>
        <w:spacing w:before="100" w:beforeAutospacing="1" w:after="100" w:afterAutospacing="1"/>
        <w:rPr>
          <w:rFonts w:eastAsia="Times New Roman" w:cstheme="minorHAnsi"/>
          <w:b/>
          <w:bCs/>
          <w:sz w:val="20"/>
          <w:szCs w:val="20"/>
        </w:rPr>
      </w:pPr>
      <w:r w:rsidRPr="00F96309">
        <w:rPr>
          <w:rFonts w:eastAsia="Times New Roman" w:cstheme="minorHAnsi"/>
          <w:b/>
          <w:bCs/>
          <w:color w:val="FF0000"/>
          <w:sz w:val="20"/>
          <w:szCs w:val="20"/>
        </w:rPr>
        <w:t>[LOCAL GOVERNMENT OFFICIAL OR EMPLOYEE]</w:t>
      </w:r>
      <w:r w:rsidR="00FF7521" w:rsidRPr="00F96309">
        <w:rPr>
          <w:rFonts w:eastAsia="Times New Roman" w:cstheme="minorHAnsi"/>
          <w:b/>
          <w:bCs/>
          <w:color w:val="FF0000"/>
          <w:sz w:val="20"/>
          <w:szCs w:val="20"/>
        </w:rPr>
        <w:t xml:space="preserve"> </w:t>
      </w:r>
      <w:r w:rsidR="009A6112" w:rsidRPr="00DD5742">
        <w:rPr>
          <w:rFonts w:eastAsia="Times New Roman" w:cstheme="minorHAnsi"/>
          <w:b/>
          <w:bCs/>
          <w:sz w:val="20"/>
          <w:szCs w:val="20"/>
        </w:rPr>
        <w:t>Signature:</w:t>
      </w:r>
      <w:r w:rsidR="00EB4309">
        <w:rPr>
          <w:rFonts w:eastAsia="Times New Roman" w:cstheme="minorHAnsi"/>
          <w:b/>
          <w:bCs/>
          <w:sz w:val="20"/>
          <w:szCs w:val="20"/>
        </w:rPr>
        <w:tab/>
      </w:r>
      <w:r w:rsidR="00EB4309">
        <w:rPr>
          <w:rFonts w:eastAsia="Times New Roman" w:cstheme="minorHAnsi"/>
          <w:b/>
          <w:bCs/>
          <w:sz w:val="20"/>
          <w:szCs w:val="20"/>
        </w:rPr>
        <w:tab/>
      </w:r>
      <w:r w:rsidR="00EB4309">
        <w:rPr>
          <w:rFonts w:eastAsia="Times New Roman" w:cstheme="minorHAnsi"/>
          <w:b/>
          <w:bCs/>
          <w:sz w:val="20"/>
          <w:szCs w:val="20"/>
        </w:rPr>
        <w:tab/>
      </w:r>
      <w:r w:rsidR="006B0EC7">
        <w:rPr>
          <w:rFonts w:eastAsia="Times New Roman" w:cstheme="minorHAnsi"/>
          <w:b/>
          <w:bCs/>
          <w:sz w:val="20"/>
          <w:szCs w:val="20"/>
        </w:rPr>
        <w:tab/>
      </w:r>
      <w:r w:rsidR="00FF7521" w:rsidRPr="00DD5742">
        <w:rPr>
          <w:rFonts w:eastAsia="Times New Roman" w:cstheme="minorHAnsi"/>
          <w:b/>
          <w:bCs/>
          <w:sz w:val="20"/>
          <w:szCs w:val="20"/>
        </w:rPr>
        <w:t xml:space="preserve">Date: </w:t>
      </w:r>
    </w:p>
    <w:sectPr w:rsidR="00FF7521" w:rsidRPr="00DD5742" w:rsidSect="00EC62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302A" w14:textId="77777777" w:rsidR="009A6112" w:rsidRDefault="009A6112" w:rsidP="009A6112">
      <w:r>
        <w:separator/>
      </w:r>
    </w:p>
  </w:endnote>
  <w:endnote w:type="continuationSeparator" w:id="0">
    <w:p w14:paraId="2D710A1F" w14:textId="77777777" w:rsidR="009A6112" w:rsidRDefault="009A6112" w:rsidP="009A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2CAF" w14:textId="77777777" w:rsidR="00E8143A" w:rsidRPr="00E8143A" w:rsidRDefault="00E8143A" w:rsidP="00E8143A">
    <w:pPr>
      <w:spacing w:before="100" w:beforeAutospacing="1" w:after="100" w:afterAutospacing="1"/>
      <w:rPr>
        <w:rFonts w:eastAsia="Times New Roman" w:cstheme="minorHAnsi"/>
        <w:i/>
        <w:iCs/>
        <w:sz w:val="20"/>
        <w:szCs w:val="20"/>
      </w:rPr>
    </w:pPr>
    <w:r w:rsidRPr="00E8143A">
      <w:rPr>
        <w:rFonts w:eastAsia="Times New Roman" w:cstheme="minorHAnsi"/>
        <w:i/>
        <w:iCs/>
        <w:sz w:val="20"/>
        <w:szCs w:val="20"/>
      </w:rPr>
      <w:t xml:space="preserve">This determination shall be retained as part of the official record of the project for which the contract or subaward is made. Please forward a copy to </w:t>
    </w:r>
    <w:r w:rsidRPr="00F96309">
      <w:rPr>
        <w:rFonts w:eastAsia="Times New Roman" w:cstheme="minorHAnsi"/>
        <w:i/>
        <w:iCs/>
        <w:color w:val="FF0000"/>
        <w:sz w:val="20"/>
        <w:szCs w:val="20"/>
      </w:rPr>
      <w:t xml:space="preserve">[NAME OF APPOPRIATE LOCAL GOVERNMENT OFFICIAL HERE] </w:t>
    </w:r>
    <w:r w:rsidRPr="00E8143A">
      <w:rPr>
        <w:rFonts w:eastAsia="Times New Roman" w:cstheme="minorHAnsi"/>
        <w:i/>
        <w:iCs/>
        <w:sz w:val="20"/>
        <w:szCs w:val="20"/>
      </w:rPr>
      <w:t>for record retention purposes.</w:t>
    </w:r>
  </w:p>
  <w:p w14:paraId="3EB3DE58" w14:textId="77777777" w:rsidR="00E8143A" w:rsidRDefault="00E81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C274" w14:textId="77777777" w:rsidR="009A6112" w:rsidRDefault="009A6112" w:rsidP="009A6112">
      <w:r>
        <w:separator/>
      </w:r>
    </w:p>
  </w:footnote>
  <w:footnote w:type="continuationSeparator" w:id="0">
    <w:p w14:paraId="623C5533" w14:textId="77777777" w:rsidR="009A6112" w:rsidRDefault="009A6112" w:rsidP="009A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5BCC"/>
    <w:multiLevelType w:val="multilevel"/>
    <w:tmpl w:val="CA862F5C"/>
    <w:lvl w:ilvl="0">
      <w:start w:val="1"/>
      <w:numFmt w:val="bullet"/>
      <w:lvlText w:val=""/>
      <w:lvlJc w:val="left"/>
      <w:pPr>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8421E9"/>
    <w:multiLevelType w:val="multilevel"/>
    <w:tmpl w:val="3578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1F35F0"/>
    <w:multiLevelType w:val="multilevel"/>
    <w:tmpl w:val="EC96C900"/>
    <w:lvl w:ilvl="0">
      <w:start w:val="1"/>
      <w:numFmt w:val="bullet"/>
      <w:lvlText w:val=""/>
      <w:lvlJc w:val="left"/>
      <w:pPr>
        <w:ind w:left="720" w:hanging="360"/>
      </w:pPr>
      <w:rPr>
        <w:rFonts w:ascii="Courier New" w:hAnsi="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9D1B31"/>
    <w:multiLevelType w:val="multilevel"/>
    <w:tmpl w:val="B5B2E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B4ECF"/>
    <w:multiLevelType w:val="hybridMultilevel"/>
    <w:tmpl w:val="67384432"/>
    <w:lvl w:ilvl="0" w:tplc="F6CA6D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653A1"/>
    <w:multiLevelType w:val="multilevel"/>
    <w:tmpl w:val="3CD4EE48"/>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83"/>
    <w:rsid w:val="000E481B"/>
    <w:rsid w:val="00115953"/>
    <w:rsid w:val="00281CDC"/>
    <w:rsid w:val="00444A8D"/>
    <w:rsid w:val="00462166"/>
    <w:rsid w:val="00590C07"/>
    <w:rsid w:val="006645C3"/>
    <w:rsid w:val="00686254"/>
    <w:rsid w:val="006B0EC7"/>
    <w:rsid w:val="006B4DA1"/>
    <w:rsid w:val="006D2E0A"/>
    <w:rsid w:val="00723D2A"/>
    <w:rsid w:val="00757D53"/>
    <w:rsid w:val="00833E55"/>
    <w:rsid w:val="00960532"/>
    <w:rsid w:val="009A6112"/>
    <w:rsid w:val="00A35D33"/>
    <w:rsid w:val="00B30D0E"/>
    <w:rsid w:val="00B924B1"/>
    <w:rsid w:val="00BC19D5"/>
    <w:rsid w:val="00BD1783"/>
    <w:rsid w:val="00BF6AA5"/>
    <w:rsid w:val="00C42EE4"/>
    <w:rsid w:val="00C964AD"/>
    <w:rsid w:val="00DD5742"/>
    <w:rsid w:val="00E628A4"/>
    <w:rsid w:val="00E8143A"/>
    <w:rsid w:val="00EB4309"/>
    <w:rsid w:val="00EC6208"/>
    <w:rsid w:val="00F81ED9"/>
    <w:rsid w:val="00F96309"/>
    <w:rsid w:val="00FE70DD"/>
    <w:rsid w:val="00FF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A507"/>
  <w15:chartTrackingRefBased/>
  <w15:docId w15:val="{B4522418-A51E-AF4E-95F9-E31B37AA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7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178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D178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5953"/>
    <w:pPr>
      <w:ind w:left="720"/>
      <w:contextualSpacing/>
    </w:pPr>
  </w:style>
  <w:style w:type="paragraph" w:styleId="Header">
    <w:name w:val="header"/>
    <w:basedOn w:val="Normal"/>
    <w:link w:val="HeaderChar"/>
    <w:uiPriority w:val="99"/>
    <w:unhideWhenUsed/>
    <w:rsid w:val="009A6112"/>
    <w:pPr>
      <w:tabs>
        <w:tab w:val="center" w:pos="4680"/>
        <w:tab w:val="right" w:pos="9360"/>
      </w:tabs>
    </w:pPr>
  </w:style>
  <w:style w:type="character" w:customStyle="1" w:styleId="HeaderChar">
    <w:name w:val="Header Char"/>
    <w:basedOn w:val="DefaultParagraphFont"/>
    <w:link w:val="Header"/>
    <w:uiPriority w:val="99"/>
    <w:rsid w:val="009A6112"/>
  </w:style>
  <w:style w:type="paragraph" w:styleId="Footer">
    <w:name w:val="footer"/>
    <w:basedOn w:val="Normal"/>
    <w:link w:val="FooterChar"/>
    <w:uiPriority w:val="99"/>
    <w:unhideWhenUsed/>
    <w:rsid w:val="009A6112"/>
    <w:pPr>
      <w:tabs>
        <w:tab w:val="center" w:pos="4680"/>
        <w:tab w:val="right" w:pos="9360"/>
      </w:tabs>
    </w:pPr>
  </w:style>
  <w:style w:type="character" w:customStyle="1" w:styleId="FooterChar">
    <w:name w:val="Footer Char"/>
    <w:basedOn w:val="DefaultParagraphFont"/>
    <w:link w:val="Footer"/>
    <w:uiPriority w:val="99"/>
    <w:rsid w:val="009A6112"/>
  </w:style>
  <w:style w:type="character" w:styleId="Hyperlink">
    <w:name w:val="Hyperlink"/>
    <w:basedOn w:val="DefaultParagraphFont"/>
    <w:uiPriority w:val="99"/>
    <w:unhideWhenUsed/>
    <w:rsid w:val="00686254"/>
    <w:rPr>
      <w:color w:val="0563C1" w:themeColor="hyperlink"/>
      <w:u w:val="single"/>
    </w:rPr>
  </w:style>
  <w:style w:type="character" w:styleId="UnresolvedMention">
    <w:name w:val="Unresolved Mention"/>
    <w:basedOn w:val="DefaultParagraphFont"/>
    <w:uiPriority w:val="99"/>
    <w:semiHidden/>
    <w:unhideWhenUsed/>
    <w:rsid w:val="00686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2502">
      <w:bodyDiv w:val="1"/>
      <w:marLeft w:val="0"/>
      <w:marRight w:val="0"/>
      <w:marTop w:val="0"/>
      <w:marBottom w:val="0"/>
      <w:divBdr>
        <w:top w:val="none" w:sz="0" w:space="0" w:color="auto"/>
        <w:left w:val="none" w:sz="0" w:space="0" w:color="auto"/>
        <w:bottom w:val="none" w:sz="0" w:space="0" w:color="auto"/>
        <w:right w:val="none" w:sz="0" w:space="0" w:color="auto"/>
      </w:divBdr>
      <w:divsChild>
        <w:div w:id="305206665">
          <w:marLeft w:val="0"/>
          <w:marRight w:val="0"/>
          <w:marTop w:val="0"/>
          <w:marBottom w:val="0"/>
          <w:divBdr>
            <w:top w:val="none" w:sz="0" w:space="0" w:color="auto"/>
            <w:left w:val="none" w:sz="0" w:space="0" w:color="auto"/>
            <w:bottom w:val="none" w:sz="0" w:space="0" w:color="auto"/>
            <w:right w:val="none" w:sz="0" w:space="0" w:color="auto"/>
          </w:divBdr>
          <w:divsChild>
            <w:div w:id="803742266">
              <w:marLeft w:val="0"/>
              <w:marRight w:val="0"/>
              <w:marTop w:val="0"/>
              <w:marBottom w:val="0"/>
              <w:divBdr>
                <w:top w:val="none" w:sz="0" w:space="0" w:color="auto"/>
                <w:left w:val="none" w:sz="0" w:space="0" w:color="auto"/>
                <w:bottom w:val="none" w:sz="0" w:space="0" w:color="auto"/>
                <w:right w:val="none" w:sz="0" w:space="0" w:color="auto"/>
              </w:divBdr>
              <w:divsChild>
                <w:div w:id="159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83058">
      <w:bodyDiv w:val="1"/>
      <w:marLeft w:val="0"/>
      <w:marRight w:val="0"/>
      <w:marTop w:val="0"/>
      <w:marBottom w:val="0"/>
      <w:divBdr>
        <w:top w:val="none" w:sz="0" w:space="0" w:color="auto"/>
        <w:left w:val="none" w:sz="0" w:space="0" w:color="auto"/>
        <w:bottom w:val="none" w:sz="0" w:space="0" w:color="auto"/>
        <w:right w:val="none" w:sz="0" w:space="0" w:color="auto"/>
      </w:divBdr>
      <w:divsChild>
        <w:div w:id="265038656">
          <w:marLeft w:val="0"/>
          <w:marRight w:val="0"/>
          <w:marTop w:val="0"/>
          <w:marBottom w:val="0"/>
          <w:divBdr>
            <w:top w:val="none" w:sz="0" w:space="0" w:color="auto"/>
            <w:left w:val="none" w:sz="0" w:space="0" w:color="auto"/>
            <w:bottom w:val="none" w:sz="0" w:space="0" w:color="auto"/>
            <w:right w:val="none" w:sz="0" w:space="0" w:color="auto"/>
          </w:divBdr>
          <w:divsChild>
            <w:div w:id="528028243">
              <w:marLeft w:val="0"/>
              <w:marRight w:val="0"/>
              <w:marTop w:val="0"/>
              <w:marBottom w:val="0"/>
              <w:divBdr>
                <w:top w:val="none" w:sz="0" w:space="0" w:color="auto"/>
                <w:left w:val="none" w:sz="0" w:space="0" w:color="auto"/>
                <w:bottom w:val="none" w:sz="0" w:space="0" w:color="auto"/>
                <w:right w:val="none" w:sz="0" w:space="0" w:color="auto"/>
              </w:divBdr>
              <w:divsChild>
                <w:div w:id="19145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efdp.org/default/subaward-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Millonzi, Kara Anne</dc:creator>
  <cp:keywords/>
  <dc:description/>
  <cp:lastModifiedBy>Millonzi, Kara Anne</cp:lastModifiedBy>
  <cp:revision>32</cp:revision>
  <dcterms:created xsi:type="dcterms:W3CDTF">2021-10-10T23:03:00Z</dcterms:created>
  <dcterms:modified xsi:type="dcterms:W3CDTF">2021-10-10T23:38:00Z</dcterms:modified>
</cp:coreProperties>
</file>