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9D5" w:rsidRPr="008A49D5" w:rsidRDefault="008A49D5" w:rsidP="008A49D5">
      <w:pPr>
        <w:spacing w:before="200" w:after="100" w:line="240" w:lineRule="auto"/>
        <w:jc w:val="center"/>
        <w:outlineLvl w:val="1"/>
        <w:rPr>
          <w:rFonts w:eastAsia="Times New Roman" w:cstheme="minorHAnsi"/>
          <w:b/>
          <w:bCs/>
          <w:color w:val="000000"/>
          <w:sz w:val="28"/>
          <w:szCs w:val="24"/>
        </w:rPr>
      </w:pPr>
      <w:r>
        <w:rPr>
          <w:rFonts w:eastAsia="Times New Roman" w:cstheme="minorHAnsi"/>
          <w:b/>
          <w:bCs/>
          <w:color w:val="000000"/>
          <w:sz w:val="28"/>
          <w:szCs w:val="24"/>
        </w:rPr>
        <w:t>Uniform Guidance Required Contract Provisions</w:t>
      </w:r>
    </w:p>
    <w:p w:rsidR="002115DF" w:rsidRPr="008A49D5" w:rsidRDefault="002115DF" w:rsidP="002115DF">
      <w:pPr>
        <w:spacing w:before="200" w:after="100" w:line="240" w:lineRule="auto"/>
        <w:outlineLvl w:val="1"/>
        <w:rPr>
          <w:rFonts w:eastAsia="Times New Roman" w:cstheme="minorHAnsi"/>
          <w:bCs/>
          <w:i/>
          <w:color w:val="000000"/>
          <w:sz w:val="24"/>
          <w:szCs w:val="24"/>
        </w:rPr>
      </w:pPr>
      <w:r>
        <w:rPr>
          <w:rFonts w:eastAsia="Times New Roman" w:cstheme="minorHAnsi"/>
          <w:bCs/>
          <w:i/>
          <w:color w:val="000000"/>
          <w:sz w:val="24"/>
          <w:szCs w:val="24"/>
        </w:rPr>
        <w:t xml:space="preserve">Comment:  This document </w:t>
      </w:r>
      <w:r>
        <w:rPr>
          <w:rFonts w:eastAsia="Times New Roman" w:cstheme="minorHAnsi"/>
          <w:bCs/>
          <w:i/>
          <w:color w:val="000000"/>
          <w:sz w:val="24"/>
          <w:szCs w:val="24"/>
        </w:rPr>
        <w:t>provides</w:t>
      </w:r>
      <w:r>
        <w:rPr>
          <w:rFonts w:eastAsia="Times New Roman" w:cstheme="minorHAnsi"/>
          <w:bCs/>
          <w:i/>
          <w:color w:val="000000"/>
          <w:sz w:val="24"/>
          <w:szCs w:val="24"/>
        </w:rPr>
        <w:t xml:space="preserve"> contract provisions required under the Uniform Guidance, 2 C.F.R. Part 200, Appendix II.  </w:t>
      </w:r>
      <w:r>
        <w:rPr>
          <w:rFonts w:eastAsia="Times New Roman" w:cstheme="minorHAnsi"/>
          <w:bCs/>
          <w:i/>
          <w:color w:val="000000"/>
          <w:sz w:val="24"/>
          <w:szCs w:val="24"/>
        </w:rPr>
        <w:t xml:space="preserve">The text of Appendix II is reprinted below.  </w:t>
      </w:r>
      <w:r>
        <w:rPr>
          <w:rFonts w:eastAsia="Times New Roman" w:cstheme="minorHAnsi"/>
          <w:bCs/>
          <w:i/>
          <w:color w:val="000000"/>
          <w:sz w:val="24"/>
          <w:szCs w:val="24"/>
        </w:rPr>
        <w:t xml:space="preserve">Local governments should review their notice of award and confirm with their federal awarding agency regarding these provisions and any additional </w:t>
      </w:r>
      <w:r w:rsidR="009868EC">
        <w:rPr>
          <w:rFonts w:eastAsia="Times New Roman" w:cstheme="minorHAnsi"/>
          <w:bCs/>
          <w:i/>
          <w:color w:val="000000"/>
          <w:sz w:val="24"/>
          <w:szCs w:val="24"/>
        </w:rPr>
        <w:t xml:space="preserve">contract </w:t>
      </w:r>
      <w:bookmarkStart w:id="0" w:name="_GoBack"/>
      <w:bookmarkEnd w:id="0"/>
      <w:r>
        <w:rPr>
          <w:rFonts w:eastAsia="Times New Roman" w:cstheme="minorHAnsi"/>
          <w:bCs/>
          <w:i/>
          <w:color w:val="000000"/>
          <w:sz w:val="24"/>
          <w:szCs w:val="24"/>
        </w:rPr>
        <w:t>provisions required by the awarding agency.  Local governments should consult with their attorneys in developing contract provisions.</w:t>
      </w:r>
    </w:p>
    <w:p w:rsidR="008A49D5" w:rsidRDefault="008A49D5" w:rsidP="008A49D5">
      <w:pPr>
        <w:spacing w:before="200" w:after="100" w:line="240" w:lineRule="auto"/>
        <w:outlineLvl w:val="1"/>
        <w:rPr>
          <w:rFonts w:eastAsia="Times New Roman" w:cstheme="minorHAnsi"/>
          <w:b/>
          <w:bCs/>
          <w:color w:val="000000"/>
          <w:sz w:val="24"/>
          <w:szCs w:val="24"/>
        </w:rPr>
      </w:pPr>
      <w:r w:rsidRPr="008A49D5">
        <w:rPr>
          <w:rFonts w:eastAsia="Times New Roman" w:cstheme="minorHAnsi"/>
          <w:b/>
          <w:bCs/>
          <w:color w:val="000000"/>
          <w:sz w:val="24"/>
          <w:szCs w:val="24"/>
        </w:rPr>
        <w:t xml:space="preserve">Appendix II to Part 200—Contract Provisions for Non-Federal Entity Contracts Under Federal Awards </w:t>
      </w:r>
      <w:hyperlink r:id="rId6" w:anchor="ap2.1.200_1521.ii" w:history="1">
        <w:r w:rsidRPr="008A49D5">
          <w:rPr>
            <w:rStyle w:val="Hyperlink"/>
            <w:rFonts w:eastAsia="Times New Roman" w:cstheme="minorHAnsi"/>
            <w:sz w:val="24"/>
            <w:szCs w:val="24"/>
          </w:rPr>
          <w:t>https://www.ecfr.gov/cgi-bin/text-idx?SID=04e61f4e0a8317140a9ec150bb2ac195&amp;mc=true&amp;node=pt2.1.200&amp;rgn=div5#ap2.1.200_1521.ii</w:t>
        </w:r>
      </w:hyperlink>
    </w:p>
    <w:p w:rsidR="008A49D5" w:rsidRPr="008A49D5" w:rsidRDefault="008A49D5" w:rsidP="008A49D5">
      <w:pPr>
        <w:spacing w:before="100" w:beforeAutospacing="1" w:after="100" w:afterAutospacing="1" w:line="240" w:lineRule="auto"/>
        <w:ind w:firstLine="390"/>
        <w:jc w:val="both"/>
        <w:rPr>
          <w:rFonts w:eastAsia="Times New Roman" w:cstheme="minorHAnsi"/>
          <w:color w:val="000000"/>
          <w:sz w:val="24"/>
          <w:szCs w:val="24"/>
        </w:rPr>
      </w:pPr>
      <w:r w:rsidRPr="008A49D5">
        <w:rPr>
          <w:rFonts w:eastAsia="Times New Roman" w:cstheme="minorHAnsi"/>
          <w:color w:val="000000"/>
          <w:sz w:val="24"/>
          <w:szCs w:val="24"/>
        </w:rPr>
        <w:t>In addition to other provisions required by the Federal agency or non-Federal entity, all contracts made by the non-Federal entity under the Federal award must contain provisions covering the following, as applicable.</w:t>
      </w:r>
    </w:p>
    <w:p w:rsidR="008A49D5" w:rsidRPr="008A49D5" w:rsidRDefault="008A49D5" w:rsidP="008A49D5">
      <w:pPr>
        <w:spacing w:before="100" w:beforeAutospacing="1" w:after="100" w:afterAutospacing="1" w:line="240" w:lineRule="auto"/>
        <w:ind w:firstLine="390"/>
        <w:jc w:val="both"/>
        <w:rPr>
          <w:rFonts w:eastAsia="Times New Roman" w:cstheme="minorHAnsi"/>
          <w:color w:val="000000"/>
          <w:sz w:val="24"/>
          <w:szCs w:val="24"/>
        </w:rPr>
      </w:pPr>
      <w:r w:rsidRPr="008A49D5">
        <w:rPr>
          <w:rFonts w:eastAsia="Times New Roman" w:cstheme="minorHAnsi"/>
          <w:color w:val="000000"/>
          <w:sz w:val="24"/>
          <w:szCs w:val="24"/>
        </w:rPr>
        <w:t>(A)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rsidR="008A49D5" w:rsidRPr="008A49D5" w:rsidRDefault="008A49D5" w:rsidP="008A49D5">
      <w:pPr>
        <w:spacing w:before="100" w:beforeAutospacing="1" w:after="100" w:afterAutospacing="1" w:line="240" w:lineRule="auto"/>
        <w:ind w:firstLine="390"/>
        <w:jc w:val="both"/>
        <w:rPr>
          <w:rFonts w:eastAsia="Times New Roman" w:cstheme="minorHAnsi"/>
          <w:color w:val="000000"/>
          <w:sz w:val="24"/>
          <w:szCs w:val="24"/>
        </w:rPr>
      </w:pPr>
      <w:r w:rsidRPr="008A49D5">
        <w:rPr>
          <w:rFonts w:eastAsia="Times New Roman" w:cstheme="minorHAnsi"/>
          <w:color w:val="000000"/>
          <w:sz w:val="24"/>
          <w:szCs w:val="24"/>
        </w:rPr>
        <w:t xml:space="preserve">(B) All contracts </w:t>
      </w:r>
      <w:proofErr w:type="gramStart"/>
      <w:r w:rsidRPr="008A49D5">
        <w:rPr>
          <w:rFonts w:eastAsia="Times New Roman" w:cstheme="minorHAnsi"/>
          <w:color w:val="000000"/>
          <w:sz w:val="24"/>
          <w:szCs w:val="24"/>
        </w:rPr>
        <w:t>in excess of</w:t>
      </w:r>
      <w:proofErr w:type="gramEnd"/>
      <w:r w:rsidRPr="008A49D5">
        <w:rPr>
          <w:rFonts w:eastAsia="Times New Roman" w:cstheme="minorHAnsi"/>
          <w:color w:val="000000"/>
          <w:sz w:val="24"/>
          <w:szCs w:val="24"/>
        </w:rPr>
        <w:t xml:space="preserve"> $10,000 must address termination for cause and for convenience by the non-Federal entity including the manner by which it will be effected and the basis for settlement.</w:t>
      </w:r>
    </w:p>
    <w:p w:rsidR="008A49D5" w:rsidRPr="008A49D5" w:rsidRDefault="008A49D5" w:rsidP="008A49D5">
      <w:pPr>
        <w:spacing w:before="100" w:beforeAutospacing="1" w:after="100" w:afterAutospacing="1" w:line="240" w:lineRule="auto"/>
        <w:ind w:firstLine="390"/>
        <w:jc w:val="both"/>
        <w:rPr>
          <w:rFonts w:eastAsia="Times New Roman" w:cstheme="minorHAnsi"/>
          <w:color w:val="000000"/>
          <w:sz w:val="24"/>
          <w:szCs w:val="24"/>
        </w:rPr>
      </w:pPr>
      <w:r w:rsidRPr="008A49D5">
        <w:rPr>
          <w:rFonts w:eastAsia="Times New Roman" w:cstheme="minorHAnsi"/>
          <w:color w:val="000000"/>
          <w:sz w:val="24"/>
          <w:szCs w:val="24"/>
        </w:rPr>
        <w:t>(C) 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rsidR="008A49D5" w:rsidRPr="008A49D5" w:rsidRDefault="008A49D5" w:rsidP="008A49D5">
      <w:pPr>
        <w:spacing w:before="100" w:beforeAutospacing="1" w:after="100" w:afterAutospacing="1" w:line="240" w:lineRule="auto"/>
        <w:ind w:firstLine="390"/>
        <w:jc w:val="both"/>
        <w:rPr>
          <w:rFonts w:eastAsia="Times New Roman" w:cstheme="minorHAnsi"/>
          <w:color w:val="000000"/>
          <w:sz w:val="24"/>
          <w:szCs w:val="24"/>
        </w:rPr>
      </w:pPr>
      <w:r w:rsidRPr="008A49D5">
        <w:rPr>
          <w:rFonts w:eastAsia="Times New Roman" w:cstheme="minorHAnsi"/>
          <w:color w:val="000000"/>
          <w:sz w:val="24"/>
          <w:szCs w:val="24"/>
        </w:rPr>
        <w:t xml:space="preserve">(D) Davis-Bacon Act, as amended (40 U.S.C. 3141-3148). When required by Federal program legislation, all prime construction contracts </w:t>
      </w:r>
      <w:proofErr w:type="gramStart"/>
      <w:r w:rsidRPr="008A49D5">
        <w:rPr>
          <w:rFonts w:eastAsia="Times New Roman" w:cstheme="minorHAnsi"/>
          <w:color w:val="000000"/>
          <w:sz w:val="24"/>
          <w:szCs w:val="24"/>
        </w:rPr>
        <w:t>in excess of</w:t>
      </w:r>
      <w:proofErr w:type="gramEnd"/>
      <w:r w:rsidRPr="008A49D5">
        <w:rPr>
          <w:rFonts w:eastAsia="Times New Roman" w:cstheme="minorHAnsi"/>
          <w:color w:val="000000"/>
          <w:sz w:val="24"/>
          <w:szCs w:val="24"/>
        </w:rPr>
        <w:t xml:space="preserve">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w:t>
      </w:r>
      <w:r w:rsidRPr="008A49D5">
        <w:rPr>
          <w:rFonts w:eastAsia="Times New Roman" w:cstheme="minorHAnsi"/>
          <w:color w:val="000000"/>
          <w:sz w:val="24"/>
          <w:szCs w:val="24"/>
        </w:rPr>
        <w:lastRenderedPageBreak/>
        <w:t xml:space="preserve">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w:t>
      </w:r>
      <w:proofErr w:type="spellStart"/>
      <w:r w:rsidRPr="008A49D5">
        <w:rPr>
          <w:rFonts w:eastAsia="Times New Roman" w:cstheme="minorHAnsi"/>
          <w:color w:val="000000"/>
          <w:sz w:val="24"/>
          <w:szCs w:val="24"/>
        </w:rPr>
        <w:t>subrecipient</w:t>
      </w:r>
      <w:proofErr w:type="spellEnd"/>
      <w:r w:rsidRPr="008A49D5">
        <w:rPr>
          <w:rFonts w:eastAsia="Times New Roman" w:cstheme="minorHAnsi"/>
          <w:color w:val="000000"/>
          <w:sz w:val="24"/>
          <w:szCs w:val="24"/>
        </w:rPr>
        <w:t xml:space="preserve">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rsidR="008A49D5" w:rsidRPr="008A49D5" w:rsidRDefault="008A49D5" w:rsidP="008A49D5">
      <w:pPr>
        <w:spacing w:before="100" w:beforeAutospacing="1" w:after="100" w:afterAutospacing="1" w:line="240" w:lineRule="auto"/>
        <w:ind w:firstLine="390"/>
        <w:jc w:val="both"/>
        <w:rPr>
          <w:rFonts w:eastAsia="Times New Roman" w:cstheme="minorHAnsi"/>
          <w:color w:val="000000"/>
          <w:sz w:val="24"/>
          <w:szCs w:val="24"/>
        </w:rPr>
      </w:pPr>
      <w:r w:rsidRPr="008A49D5">
        <w:rPr>
          <w:rFonts w:eastAsia="Times New Roman" w:cstheme="minorHAnsi"/>
          <w:color w:val="000000"/>
          <w:sz w:val="24"/>
          <w:szCs w:val="24"/>
        </w:rPr>
        <w:t xml:space="preserve">(E) Contract Work Hours and Safety Standards Act (40 U.S.C. 3701-3708). Where applicable, all contracts awarded by the non-Federal entity </w:t>
      </w:r>
      <w:proofErr w:type="gramStart"/>
      <w:r w:rsidRPr="008A49D5">
        <w:rPr>
          <w:rFonts w:eastAsia="Times New Roman" w:cstheme="minorHAnsi"/>
          <w:color w:val="000000"/>
          <w:sz w:val="24"/>
          <w:szCs w:val="24"/>
        </w:rPr>
        <w:t>in excess of</w:t>
      </w:r>
      <w:proofErr w:type="gramEnd"/>
      <w:r w:rsidRPr="008A49D5">
        <w:rPr>
          <w:rFonts w:eastAsia="Times New Roman" w:cstheme="minorHAnsi"/>
          <w:color w:val="000000"/>
          <w:sz w:val="24"/>
          <w:szCs w:val="24"/>
        </w:rPr>
        <w:t xml:space="preserve">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w:t>
      </w:r>
      <w:proofErr w:type="gramStart"/>
      <w:r w:rsidRPr="008A49D5">
        <w:rPr>
          <w:rFonts w:eastAsia="Times New Roman" w:cstheme="minorHAnsi"/>
          <w:color w:val="000000"/>
          <w:sz w:val="24"/>
          <w:szCs w:val="24"/>
        </w:rPr>
        <w:t>on the basis of</w:t>
      </w:r>
      <w:proofErr w:type="gramEnd"/>
      <w:r w:rsidRPr="008A49D5">
        <w:rPr>
          <w:rFonts w:eastAsia="Times New Roman" w:cstheme="minorHAnsi"/>
          <w:color w:val="000000"/>
          <w:sz w:val="24"/>
          <w:szCs w:val="24"/>
        </w:rPr>
        <w:t xml:space="preserve"> a standard work week of 40 hours. Work </w:t>
      </w:r>
      <w:proofErr w:type="gramStart"/>
      <w:r w:rsidRPr="008A49D5">
        <w:rPr>
          <w:rFonts w:eastAsia="Times New Roman" w:cstheme="minorHAnsi"/>
          <w:color w:val="000000"/>
          <w:sz w:val="24"/>
          <w:szCs w:val="24"/>
        </w:rPr>
        <w:t>in excess of</w:t>
      </w:r>
      <w:proofErr w:type="gramEnd"/>
      <w:r w:rsidRPr="008A49D5">
        <w:rPr>
          <w:rFonts w:eastAsia="Times New Roman" w:cstheme="minorHAnsi"/>
          <w:color w:val="000000"/>
          <w:sz w:val="24"/>
          <w:szCs w:val="24"/>
        </w:rPr>
        <w:t xml:space="preserve">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008A49D5" w:rsidRPr="008A49D5" w:rsidRDefault="008A49D5" w:rsidP="008A49D5">
      <w:pPr>
        <w:spacing w:before="100" w:beforeAutospacing="1" w:after="100" w:afterAutospacing="1" w:line="240" w:lineRule="auto"/>
        <w:ind w:firstLine="390"/>
        <w:jc w:val="both"/>
        <w:rPr>
          <w:rFonts w:eastAsia="Times New Roman" w:cstheme="minorHAnsi"/>
          <w:color w:val="000000"/>
          <w:sz w:val="24"/>
          <w:szCs w:val="24"/>
        </w:rPr>
      </w:pPr>
      <w:r w:rsidRPr="008A49D5">
        <w:rPr>
          <w:rFonts w:eastAsia="Times New Roman" w:cstheme="minorHAnsi"/>
          <w:color w:val="000000"/>
          <w:sz w:val="24"/>
          <w:szCs w:val="24"/>
        </w:rPr>
        <w:t xml:space="preserve">(F) Rights to Inventions Made Under a Contract or Agreement. If the Federal award meets the definition of “funding agreement” under 37 CFR §401.2 (a) and the recipient or </w:t>
      </w:r>
      <w:proofErr w:type="spellStart"/>
      <w:r w:rsidRPr="008A49D5">
        <w:rPr>
          <w:rFonts w:eastAsia="Times New Roman" w:cstheme="minorHAnsi"/>
          <w:color w:val="000000"/>
          <w:sz w:val="24"/>
          <w:szCs w:val="24"/>
        </w:rPr>
        <w:t>subrecipient</w:t>
      </w:r>
      <w:proofErr w:type="spellEnd"/>
      <w:r w:rsidRPr="008A49D5">
        <w:rPr>
          <w:rFonts w:eastAsia="Times New Roman" w:cstheme="minorHAnsi"/>
          <w:color w:val="000000"/>
          <w:sz w:val="24"/>
          <w:szCs w:val="24"/>
        </w:rPr>
        <w:t xml:space="preserve"> wishes to enter into a contract with a small business firm or nonprofit organization regarding the substitution of parties, assignment or performance of experimental, developmental, or research work under that “funding agreement,” the recipient or </w:t>
      </w:r>
      <w:proofErr w:type="spellStart"/>
      <w:r w:rsidRPr="008A49D5">
        <w:rPr>
          <w:rFonts w:eastAsia="Times New Roman" w:cstheme="minorHAnsi"/>
          <w:color w:val="000000"/>
          <w:sz w:val="24"/>
          <w:szCs w:val="24"/>
        </w:rPr>
        <w:t>subrecipient</w:t>
      </w:r>
      <w:proofErr w:type="spellEnd"/>
      <w:r w:rsidRPr="008A49D5">
        <w:rPr>
          <w:rFonts w:eastAsia="Times New Roman" w:cstheme="minorHAnsi"/>
          <w:color w:val="000000"/>
          <w:sz w:val="24"/>
          <w:szCs w:val="24"/>
        </w:rPr>
        <w:t xml:space="preserve"> must comply with the requirements of 37 CFR Part 401, “Rights to Inventions Made by Nonprofit Organizations and Small Business Firms Under Government Grants, Contracts and Cooperative Agreements,” and any implementing regulations issued by the awarding agency.</w:t>
      </w:r>
    </w:p>
    <w:p w:rsidR="008A49D5" w:rsidRPr="008A49D5" w:rsidRDefault="008A49D5" w:rsidP="008A49D5">
      <w:pPr>
        <w:spacing w:before="100" w:beforeAutospacing="1" w:after="100" w:afterAutospacing="1" w:line="240" w:lineRule="auto"/>
        <w:ind w:firstLine="390"/>
        <w:jc w:val="both"/>
        <w:rPr>
          <w:rFonts w:eastAsia="Times New Roman" w:cstheme="minorHAnsi"/>
          <w:color w:val="000000"/>
          <w:sz w:val="24"/>
          <w:szCs w:val="24"/>
        </w:rPr>
      </w:pPr>
      <w:r w:rsidRPr="008A49D5">
        <w:rPr>
          <w:rFonts w:eastAsia="Times New Roman" w:cstheme="minorHAnsi"/>
          <w:color w:val="000000"/>
          <w:sz w:val="24"/>
          <w:szCs w:val="24"/>
        </w:rPr>
        <w:t xml:space="preserve">(G) Clean Air Act (42 U.S.C. 7401-7671q.) and the Federal Water Pollution Control Act (33 U.S.C. 1251-1387), as amended—Contracts and </w:t>
      </w:r>
      <w:proofErr w:type="spellStart"/>
      <w:r w:rsidRPr="008A49D5">
        <w:rPr>
          <w:rFonts w:eastAsia="Times New Roman" w:cstheme="minorHAnsi"/>
          <w:color w:val="000000"/>
          <w:sz w:val="24"/>
          <w:szCs w:val="24"/>
        </w:rPr>
        <w:t>subgrants</w:t>
      </w:r>
      <w:proofErr w:type="spellEnd"/>
      <w:r w:rsidRPr="008A49D5">
        <w:rPr>
          <w:rFonts w:eastAsia="Times New Roman" w:cstheme="minorHAnsi"/>
          <w:color w:val="000000"/>
          <w:sz w:val="24"/>
          <w:szCs w:val="24"/>
        </w:rPr>
        <w:t xml:space="preserve"> of amounts </w:t>
      </w:r>
      <w:proofErr w:type="gramStart"/>
      <w:r w:rsidRPr="008A49D5">
        <w:rPr>
          <w:rFonts w:eastAsia="Times New Roman" w:cstheme="minorHAnsi"/>
          <w:color w:val="000000"/>
          <w:sz w:val="24"/>
          <w:szCs w:val="24"/>
        </w:rPr>
        <w:t>in excess of</w:t>
      </w:r>
      <w:proofErr w:type="gramEnd"/>
      <w:r w:rsidRPr="008A49D5">
        <w:rPr>
          <w:rFonts w:eastAsia="Times New Roman" w:cstheme="minorHAnsi"/>
          <w:color w:val="000000"/>
          <w:sz w:val="24"/>
          <w:szCs w:val="24"/>
        </w:rPr>
        <w:t xml:space="preserve">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rsidR="008A49D5" w:rsidRPr="008A49D5" w:rsidRDefault="008A49D5" w:rsidP="008A49D5">
      <w:pPr>
        <w:spacing w:before="100" w:beforeAutospacing="1" w:after="100" w:afterAutospacing="1" w:line="240" w:lineRule="auto"/>
        <w:ind w:firstLine="390"/>
        <w:jc w:val="both"/>
        <w:rPr>
          <w:rFonts w:eastAsia="Times New Roman" w:cstheme="minorHAnsi"/>
          <w:color w:val="000000"/>
          <w:sz w:val="24"/>
          <w:szCs w:val="24"/>
        </w:rPr>
      </w:pPr>
      <w:r w:rsidRPr="008A49D5">
        <w:rPr>
          <w:rFonts w:eastAsia="Times New Roman" w:cstheme="minorHAnsi"/>
          <w:color w:val="000000"/>
          <w:sz w:val="24"/>
          <w:szCs w:val="24"/>
        </w:rPr>
        <w:t xml:space="preserve">(H) 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w:t>
      </w:r>
      <w:r w:rsidRPr="008A49D5">
        <w:rPr>
          <w:rFonts w:eastAsia="Times New Roman" w:cstheme="minorHAnsi"/>
          <w:color w:val="000000"/>
          <w:sz w:val="24"/>
          <w:szCs w:val="24"/>
        </w:rPr>
        <w:lastRenderedPageBreak/>
        <w:t>debarred, suspended, or otherwise excluded by agencies, as well as parties declared ineligible under statutory or regulatory authority other than Executive Order 12549.</w:t>
      </w:r>
    </w:p>
    <w:p w:rsidR="008A49D5" w:rsidRPr="008A49D5" w:rsidRDefault="008A49D5" w:rsidP="008A49D5">
      <w:pPr>
        <w:spacing w:before="100" w:beforeAutospacing="1" w:after="100" w:afterAutospacing="1" w:line="240" w:lineRule="auto"/>
        <w:ind w:firstLine="390"/>
        <w:jc w:val="both"/>
        <w:rPr>
          <w:rFonts w:eastAsia="Times New Roman" w:cstheme="minorHAnsi"/>
          <w:color w:val="000000"/>
          <w:sz w:val="24"/>
          <w:szCs w:val="24"/>
        </w:rPr>
      </w:pPr>
      <w:r w:rsidRPr="008A49D5">
        <w:rPr>
          <w:rFonts w:eastAsia="Times New Roman" w:cstheme="minorHAnsi"/>
          <w:color w:val="000000"/>
          <w:sz w:val="24"/>
          <w:szCs w:val="24"/>
        </w:rPr>
        <w:t xml:space="preserve">(I) 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w:t>
      </w:r>
      <w:proofErr w:type="gramStart"/>
      <w:r w:rsidRPr="008A49D5">
        <w:rPr>
          <w:rFonts w:eastAsia="Times New Roman" w:cstheme="minorHAnsi"/>
          <w:color w:val="000000"/>
          <w:sz w:val="24"/>
          <w:szCs w:val="24"/>
        </w:rPr>
        <w:t>in connection with</w:t>
      </w:r>
      <w:proofErr w:type="gramEnd"/>
      <w:r w:rsidRPr="008A49D5">
        <w:rPr>
          <w:rFonts w:eastAsia="Times New Roman" w:cstheme="minorHAnsi"/>
          <w:color w:val="000000"/>
          <w:sz w:val="24"/>
          <w:szCs w:val="24"/>
        </w:rPr>
        <w:t xml:space="preserve"> obtaining any Federal contract, grant or any other award covered by 31 U.S.C. 1352. Each tier must also disclose any lobbying with non-Federal funds that takes place </w:t>
      </w:r>
      <w:proofErr w:type="gramStart"/>
      <w:r w:rsidRPr="008A49D5">
        <w:rPr>
          <w:rFonts w:eastAsia="Times New Roman" w:cstheme="minorHAnsi"/>
          <w:color w:val="000000"/>
          <w:sz w:val="24"/>
          <w:szCs w:val="24"/>
        </w:rPr>
        <w:t>in connection with</w:t>
      </w:r>
      <w:proofErr w:type="gramEnd"/>
      <w:r w:rsidRPr="008A49D5">
        <w:rPr>
          <w:rFonts w:eastAsia="Times New Roman" w:cstheme="minorHAnsi"/>
          <w:color w:val="000000"/>
          <w:sz w:val="24"/>
          <w:szCs w:val="24"/>
        </w:rPr>
        <w:t xml:space="preserve"> obtaining any Federal award. Such disclosures are forwarded from tier to </w:t>
      </w:r>
      <w:proofErr w:type="spellStart"/>
      <w:r w:rsidRPr="008A49D5">
        <w:rPr>
          <w:rFonts w:eastAsia="Times New Roman" w:cstheme="minorHAnsi"/>
          <w:color w:val="000000"/>
          <w:sz w:val="24"/>
          <w:szCs w:val="24"/>
        </w:rPr>
        <w:t>tier</w:t>
      </w:r>
      <w:proofErr w:type="spellEnd"/>
      <w:r w:rsidRPr="008A49D5">
        <w:rPr>
          <w:rFonts w:eastAsia="Times New Roman" w:cstheme="minorHAnsi"/>
          <w:color w:val="000000"/>
          <w:sz w:val="24"/>
          <w:szCs w:val="24"/>
        </w:rPr>
        <w:t xml:space="preserve"> up to the non-Federal award.</w:t>
      </w:r>
    </w:p>
    <w:p w:rsidR="008A49D5" w:rsidRPr="008A49D5" w:rsidRDefault="008A49D5" w:rsidP="008A49D5">
      <w:pPr>
        <w:spacing w:before="100" w:beforeAutospacing="1" w:after="100" w:afterAutospacing="1" w:line="240" w:lineRule="auto"/>
        <w:ind w:firstLine="390"/>
        <w:jc w:val="both"/>
        <w:rPr>
          <w:rFonts w:eastAsia="Times New Roman" w:cstheme="minorHAnsi"/>
          <w:color w:val="000000"/>
          <w:sz w:val="24"/>
          <w:szCs w:val="24"/>
        </w:rPr>
      </w:pPr>
      <w:r w:rsidRPr="008A49D5">
        <w:rPr>
          <w:rFonts w:eastAsia="Times New Roman" w:cstheme="minorHAnsi"/>
          <w:color w:val="000000"/>
          <w:sz w:val="24"/>
          <w:szCs w:val="24"/>
        </w:rPr>
        <w:t>(J) See §200.322 Procurement of recovered materials.</w:t>
      </w:r>
    </w:p>
    <w:p w:rsidR="008A49D5" w:rsidRPr="008A49D5" w:rsidRDefault="008A49D5" w:rsidP="008A49D5">
      <w:pPr>
        <w:pStyle w:val="Heading2"/>
        <w:spacing w:before="200" w:beforeAutospacing="0" w:afterAutospacing="0"/>
        <w:ind w:left="360"/>
        <w:jc w:val="both"/>
        <w:rPr>
          <w:rFonts w:asciiTheme="minorHAnsi" w:hAnsiTheme="minorHAnsi" w:cstheme="minorHAnsi"/>
          <w:color w:val="000000"/>
          <w:sz w:val="24"/>
          <w:szCs w:val="24"/>
        </w:rPr>
      </w:pPr>
      <w:r w:rsidRPr="008A49D5">
        <w:rPr>
          <w:rFonts w:asciiTheme="minorHAnsi" w:hAnsiTheme="minorHAnsi" w:cstheme="minorHAnsi"/>
          <w:color w:val="000000"/>
          <w:sz w:val="24"/>
          <w:szCs w:val="24"/>
        </w:rPr>
        <w:t xml:space="preserve">§200.322   </w:t>
      </w:r>
      <w:r w:rsidRPr="008A49D5">
        <w:rPr>
          <w:rFonts w:asciiTheme="minorHAnsi" w:hAnsiTheme="minorHAnsi" w:cstheme="minorHAnsi"/>
          <w:color w:val="000000"/>
          <w:sz w:val="24"/>
          <w:szCs w:val="24"/>
        </w:rPr>
        <w:t>Procurement of recovered materials.</w:t>
      </w:r>
    </w:p>
    <w:p w:rsidR="008A49D5" w:rsidRPr="008A49D5" w:rsidRDefault="008A49D5" w:rsidP="008A49D5">
      <w:pPr>
        <w:pStyle w:val="NormalWeb"/>
        <w:ind w:left="360" w:firstLine="390"/>
        <w:jc w:val="both"/>
        <w:rPr>
          <w:rFonts w:asciiTheme="minorHAnsi" w:hAnsiTheme="minorHAnsi" w:cstheme="minorHAnsi"/>
          <w:color w:val="000000"/>
        </w:rPr>
      </w:pPr>
      <w:r w:rsidRPr="008A49D5">
        <w:rPr>
          <w:rFonts w:asciiTheme="minorHAnsi" w:hAnsiTheme="minorHAnsi" w:cstheme="minorHAnsi"/>
          <w:color w:val="000000"/>
        </w:rPr>
        <w:t>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rsidR="00EA1B54" w:rsidRPr="008A49D5" w:rsidRDefault="008A49D5" w:rsidP="008A49D5">
      <w:pPr>
        <w:spacing w:before="200" w:after="100" w:afterAutospacing="1" w:line="240" w:lineRule="auto"/>
        <w:jc w:val="both"/>
        <w:rPr>
          <w:rFonts w:eastAsia="Times New Roman" w:cstheme="minorHAnsi"/>
          <w:color w:val="000000"/>
          <w:sz w:val="24"/>
          <w:szCs w:val="24"/>
        </w:rPr>
      </w:pPr>
      <w:r w:rsidRPr="008A49D5">
        <w:rPr>
          <w:rFonts w:eastAsia="Times New Roman" w:cstheme="minorHAnsi"/>
          <w:color w:val="000000"/>
          <w:sz w:val="24"/>
          <w:szCs w:val="24"/>
        </w:rPr>
        <w:t>[78 FR 78608, Dec. 26, 2013, as amended at 79 FR 75888, Dec. 19, 2014]</w:t>
      </w:r>
    </w:p>
    <w:sectPr w:rsidR="00EA1B54" w:rsidRPr="008A49D5" w:rsidSect="008A49D5">
      <w:footerReference w:type="default" r:id="rId7"/>
      <w:pgSz w:w="12240" w:h="15840"/>
      <w:pgMar w:top="90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9D5" w:rsidRDefault="008A49D5" w:rsidP="008A49D5">
      <w:pPr>
        <w:spacing w:after="0" w:line="240" w:lineRule="auto"/>
      </w:pPr>
      <w:r>
        <w:separator/>
      </w:r>
    </w:p>
  </w:endnote>
  <w:endnote w:type="continuationSeparator" w:id="0">
    <w:p w:rsidR="008A49D5" w:rsidRDefault="008A49D5" w:rsidP="008A4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D5" w:rsidRDefault="008A49D5">
    <w:pPr>
      <w:pStyle w:val="Footer"/>
      <w:jc w:val="right"/>
    </w:pPr>
    <w:r>
      <w:t>2 C.F.R. Part 200, Appendix II, Contract Provisions</w:t>
    </w:r>
    <w:r>
      <w:tab/>
    </w:r>
    <w:r>
      <w:tab/>
      <w:t xml:space="preserve">Page </w:t>
    </w:r>
    <w:sdt>
      <w:sdtPr>
        <w:id w:val="9092739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868EC">
          <w:rPr>
            <w:noProof/>
          </w:rPr>
          <w:t>1</w:t>
        </w:r>
        <w:r>
          <w:rPr>
            <w:noProof/>
          </w:rPr>
          <w:fldChar w:fldCharType="end"/>
        </w:r>
      </w:sdtContent>
    </w:sdt>
  </w:p>
  <w:p w:rsidR="008A49D5" w:rsidRDefault="008A4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9D5" w:rsidRDefault="008A49D5" w:rsidP="008A49D5">
      <w:pPr>
        <w:spacing w:after="0" w:line="240" w:lineRule="auto"/>
      </w:pPr>
      <w:r>
        <w:separator/>
      </w:r>
    </w:p>
  </w:footnote>
  <w:footnote w:type="continuationSeparator" w:id="0">
    <w:p w:rsidR="008A49D5" w:rsidRDefault="008A49D5" w:rsidP="008A4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D5"/>
    <w:rsid w:val="002115DF"/>
    <w:rsid w:val="008A49D5"/>
    <w:rsid w:val="009868EC"/>
    <w:rsid w:val="00EA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7C26"/>
  <w15:chartTrackingRefBased/>
  <w15:docId w15:val="{729DFAA5-A430-4BE1-BB2E-404F208F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8A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9D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A49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8A49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49D5"/>
    <w:rPr>
      <w:color w:val="0563C1" w:themeColor="hyperlink"/>
      <w:u w:val="single"/>
    </w:rPr>
  </w:style>
  <w:style w:type="paragraph" w:styleId="Header">
    <w:name w:val="header"/>
    <w:basedOn w:val="Normal"/>
    <w:link w:val="HeaderChar"/>
    <w:uiPriority w:val="99"/>
    <w:unhideWhenUsed/>
    <w:rsid w:val="008A4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9D5"/>
  </w:style>
  <w:style w:type="paragraph" w:styleId="Footer">
    <w:name w:val="footer"/>
    <w:basedOn w:val="Normal"/>
    <w:link w:val="FooterChar"/>
    <w:uiPriority w:val="99"/>
    <w:unhideWhenUsed/>
    <w:rsid w:val="008A4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577628">
      <w:bodyDiv w:val="1"/>
      <w:marLeft w:val="0"/>
      <w:marRight w:val="0"/>
      <w:marTop w:val="0"/>
      <w:marBottom w:val="0"/>
      <w:divBdr>
        <w:top w:val="none" w:sz="0" w:space="0" w:color="auto"/>
        <w:left w:val="none" w:sz="0" w:space="0" w:color="auto"/>
        <w:bottom w:val="none" w:sz="0" w:space="0" w:color="auto"/>
        <w:right w:val="none" w:sz="0" w:space="0" w:color="auto"/>
      </w:divBdr>
    </w:div>
    <w:div w:id="175605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gi-bin/text-idx?SID=04e61f4e0a8317140a9ec150bb2ac195&amp;mc=true&amp;node=pt2.1.200&amp;rgn=div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Norma</dc:creator>
  <cp:keywords/>
  <dc:description/>
  <cp:lastModifiedBy>Houston, Norma</cp:lastModifiedBy>
  <cp:revision>3</cp:revision>
  <dcterms:created xsi:type="dcterms:W3CDTF">2018-04-16T14:04:00Z</dcterms:created>
  <dcterms:modified xsi:type="dcterms:W3CDTF">2018-04-16T14:14:00Z</dcterms:modified>
</cp:coreProperties>
</file>