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1B" w:rsidRPr="00FE4320" w:rsidRDefault="00810F1B" w:rsidP="003B16B1">
      <w:pPr>
        <w:rPr>
          <w:rFonts w:asciiTheme="minorHAnsi" w:hAnsiTheme="minorHAnsi" w:cstheme="minorHAnsi"/>
          <w:b/>
          <w:spacing w:val="-3"/>
          <w:szCs w:val="24"/>
        </w:rPr>
      </w:pPr>
    </w:p>
    <w:p w:rsidR="00810F1B" w:rsidRPr="00FE4320" w:rsidRDefault="00810F1B" w:rsidP="003B16B1">
      <w:pPr>
        <w:rPr>
          <w:rFonts w:asciiTheme="minorHAnsi" w:hAnsiTheme="minorHAnsi" w:cstheme="minorHAnsi"/>
          <w:b/>
          <w:spacing w:val="-3"/>
          <w:szCs w:val="24"/>
        </w:rPr>
      </w:pPr>
    </w:p>
    <w:p w:rsidR="00810F1B" w:rsidRPr="00FE4320" w:rsidRDefault="00810F1B" w:rsidP="003B16B1">
      <w:pPr>
        <w:rPr>
          <w:rFonts w:asciiTheme="minorHAnsi" w:hAnsiTheme="minorHAnsi" w:cstheme="minorHAnsi"/>
          <w:b/>
          <w:spacing w:val="-3"/>
          <w:szCs w:val="24"/>
        </w:rPr>
      </w:pPr>
    </w:p>
    <w:p w:rsidR="00FE4320" w:rsidRPr="00FE4320" w:rsidRDefault="00FE4320" w:rsidP="00FE4320">
      <w:pPr>
        <w:pStyle w:val="Heading2"/>
        <w:jc w:val="center"/>
        <w:rPr>
          <w:rFonts w:asciiTheme="minorHAnsi" w:hAnsiTheme="minorHAnsi" w:cstheme="minorHAnsi"/>
          <w:noProof/>
          <w:szCs w:val="24"/>
        </w:rPr>
      </w:pPr>
      <w:r w:rsidRPr="00FE4320">
        <w:rPr>
          <w:rFonts w:asciiTheme="minorHAnsi" w:hAnsiTheme="minorHAnsi" w:cstheme="minorHAnsi"/>
          <w:noProof/>
          <w:szCs w:val="24"/>
        </w:rPr>
        <mc:AlternateContent>
          <mc:Choice Requires="wps">
            <w:drawing>
              <wp:anchor distT="0" distB="0" distL="114300" distR="114300" simplePos="0" relativeHeight="251659264" behindDoc="0" locked="0" layoutInCell="1" allowOverlap="1" wp14:anchorId="2718A802" wp14:editId="77F22918">
                <wp:simplePos x="0" y="0"/>
                <wp:positionH relativeFrom="column">
                  <wp:posOffset>-1205865</wp:posOffset>
                </wp:positionH>
                <wp:positionV relativeFrom="margin">
                  <wp:posOffset>-1635760</wp:posOffset>
                </wp:positionV>
                <wp:extent cx="6274435" cy="635"/>
                <wp:effectExtent l="32385" t="31115" r="2730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443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267D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94.95pt,-128.8pt" to="399.1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" strokeweight="4pt">
                <w10:wrap anchory="margin"/>
              </v:line>
            </w:pict>
          </mc:Fallback>
        </mc:AlternateContent>
      </w:r>
      <w:r w:rsidRPr="00FE4320">
        <w:rPr>
          <w:rFonts w:asciiTheme="minorHAnsi" w:hAnsiTheme="minorHAnsi" w:cstheme="minorHAnsi"/>
          <w:noProof/>
          <w:szCs w:val="24"/>
        </w:rPr>
        <w:t>Sample Uniform Guidance Contract Provisions</w:t>
      </w:r>
    </w:p>
    <w:p w:rsidR="00FE4320" w:rsidRPr="00FE4320" w:rsidRDefault="00FE4320" w:rsidP="00FE4320">
      <w:pPr>
        <w:jc w:val="center"/>
        <w:rPr>
          <w:rFonts w:asciiTheme="minorHAnsi" w:hAnsiTheme="minorHAnsi" w:cstheme="minorHAnsi"/>
          <w:b/>
          <w:sz w:val="28"/>
          <w:szCs w:val="24"/>
        </w:rPr>
      </w:pPr>
      <w:r w:rsidRPr="00FE4320">
        <w:rPr>
          <w:rFonts w:asciiTheme="minorHAnsi" w:hAnsiTheme="minorHAnsi" w:cstheme="minorHAnsi"/>
          <w:b/>
          <w:sz w:val="28"/>
          <w:szCs w:val="24"/>
        </w:rPr>
        <w:t xml:space="preserve">For North </w:t>
      </w:r>
      <w:proofErr w:type="gramStart"/>
      <w:r w:rsidRPr="00FE4320">
        <w:rPr>
          <w:rFonts w:asciiTheme="minorHAnsi" w:hAnsiTheme="minorHAnsi" w:cstheme="minorHAnsi"/>
          <w:b/>
          <w:sz w:val="28"/>
          <w:szCs w:val="24"/>
        </w:rPr>
        <w:t>Carolina</w:t>
      </w:r>
      <w:proofErr w:type="gramEnd"/>
      <w:r w:rsidRPr="00FE4320">
        <w:rPr>
          <w:rFonts w:asciiTheme="minorHAnsi" w:hAnsiTheme="minorHAnsi" w:cstheme="minorHAnsi"/>
          <w:b/>
          <w:sz w:val="28"/>
          <w:szCs w:val="24"/>
        </w:rPr>
        <w:t xml:space="preserve"> Local Governments</w:t>
      </w:r>
    </w:p>
    <w:p w:rsidR="00810F1B" w:rsidRPr="00FE4320" w:rsidRDefault="00810F1B" w:rsidP="003B16B1">
      <w:pPr>
        <w:rPr>
          <w:rFonts w:asciiTheme="minorHAnsi" w:hAnsiTheme="minorHAnsi" w:cstheme="minorHAnsi"/>
          <w:b/>
          <w:spacing w:val="-3"/>
          <w:szCs w:val="24"/>
        </w:rPr>
      </w:pPr>
    </w:p>
    <w:p w:rsidR="00810F1B" w:rsidRPr="00FE4320" w:rsidRDefault="0081686F" w:rsidP="003B16B1">
      <w:pPr>
        <w:rPr>
          <w:rFonts w:asciiTheme="minorHAnsi" w:hAnsiTheme="minorHAnsi" w:cstheme="minorHAnsi"/>
          <w:i/>
          <w:spacing w:val="-3"/>
          <w:szCs w:val="24"/>
        </w:rPr>
      </w:pPr>
      <w:r>
        <w:rPr>
          <w:rFonts w:asciiTheme="minorHAnsi" w:hAnsiTheme="minorHAnsi" w:cstheme="minorHAnsi"/>
          <w:i/>
          <w:spacing w:val="-3"/>
          <w:szCs w:val="24"/>
        </w:rPr>
        <w:t xml:space="preserve">Comment:  </w:t>
      </w:r>
      <w:r w:rsidR="00FE4320" w:rsidRPr="00FE4320">
        <w:rPr>
          <w:rFonts w:asciiTheme="minorHAnsi" w:hAnsiTheme="minorHAnsi" w:cstheme="minorHAnsi"/>
          <w:i/>
          <w:spacing w:val="-3"/>
          <w:szCs w:val="24"/>
        </w:rPr>
        <w:t xml:space="preserve">Listed below is a “short form” sample contract provision listing all required provisions under the Uniform Guidance (2 C.F.R. Part 200, Appendix II).  Local governments may wish to use this short form provision for transactions such as purchase orders and electronic </w:t>
      </w:r>
      <w:r>
        <w:rPr>
          <w:rFonts w:asciiTheme="minorHAnsi" w:hAnsiTheme="minorHAnsi" w:cstheme="minorHAnsi"/>
          <w:i/>
          <w:spacing w:val="-3"/>
          <w:szCs w:val="24"/>
        </w:rPr>
        <w:t>purchases</w:t>
      </w:r>
      <w:bookmarkStart w:id="0" w:name="_GoBack"/>
      <w:bookmarkEnd w:id="0"/>
      <w:r w:rsidR="00FE4320" w:rsidRPr="00FE4320">
        <w:rPr>
          <w:rFonts w:asciiTheme="minorHAnsi" w:hAnsiTheme="minorHAnsi" w:cstheme="minorHAnsi"/>
          <w:i/>
          <w:spacing w:val="-3"/>
          <w:szCs w:val="24"/>
        </w:rPr>
        <w:t>.  Local governments should consult with their attorneys when preparing contract provisions.</w:t>
      </w:r>
      <w:r w:rsidR="009A7CA3">
        <w:rPr>
          <w:rFonts w:asciiTheme="minorHAnsi" w:hAnsiTheme="minorHAnsi" w:cstheme="minorHAnsi"/>
          <w:i/>
          <w:spacing w:val="-3"/>
          <w:szCs w:val="24"/>
        </w:rPr>
        <w:t xml:space="preserve">  Local governments also should review their grant documents and consult with their grantor agency to determine if additional contract provisions are required by the granting agency.</w:t>
      </w:r>
    </w:p>
    <w:p w:rsidR="00810F1B" w:rsidRPr="00FE4320" w:rsidRDefault="00810F1B" w:rsidP="003B16B1">
      <w:pPr>
        <w:rPr>
          <w:rFonts w:asciiTheme="minorHAnsi" w:hAnsiTheme="minorHAnsi" w:cstheme="minorHAnsi"/>
          <w:b/>
          <w:spacing w:val="-3"/>
          <w:szCs w:val="24"/>
        </w:rPr>
      </w:pPr>
    </w:p>
    <w:p w:rsidR="00810F1B" w:rsidRPr="00FE4320" w:rsidRDefault="00810F1B" w:rsidP="003B16B1">
      <w:pPr>
        <w:rPr>
          <w:rFonts w:asciiTheme="minorHAnsi" w:hAnsiTheme="minorHAnsi" w:cstheme="minorHAnsi"/>
          <w:b/>
          <w:spacing w:val="-3"/>
          <w:szCs w:val="24"/>
        </w:rPr>
      </w:pPr>
    </w:p>
    <w:p w:rsidR="00810F1B" w:rsidRPr="00FE4320" w:rsidRDefault="00810F1B" w:rsidP="003B16B1">
      <w:pPr>
        <w:rPr>
          <w:rFonts w:asciiTheme="minorHAnsi" w:hAnsiTheme="minorHAnsi" w:cstheme="minorHAnsi"/>
          <w:b/>
          <w:spacing w:val="-3"/>
          <w:szCs w:val="24"/>
        </w:rPr>
      </w:pPr>
    </w:p>
    <w:p w:rsidR="00810F1B" w:rsidRPr="00FE4320" w:rsidRDefault="00810F1B" w:rsidP="003B16B1">
      <w:pPr>
        <w:rPr>
          <w:rFonts w:asciiTheme="minorHAnsi" w:hAnsiTheme="minorHAnsi" w:cstheme="minorHAnsi"/>
          <w:b/>
          <w:spacing w:val="-3"/>
          <w:szCs w:val="24"/>
        </w:rPr>
      </w:pPr>
    </w:p>
    <w:p w:rsidR="003B16B1" w:rsidRPr="00FE4320" w:rsidRDefault="003B16B1" w:rsidP="003B16B1">
      <w:pPr>
        <w:rPr>
          <w:rFonts w:asciiTheme="minorHAnsi" w:hAnsiTheme="minorHAnsi" w:cstheme="minorHAnsi"/>
          <w:szCs w:val="24"/>
        </w:rPr>
      </w:pPr>
      <w:r w:rsidRPr="00FE4320">
        <w:rPr>
          <w:rFonts w:asciiTheme="minorHAnsi" w:hAnsiTheme="minorHAnsi" w:cstheme="minorHAnsi"/>
          <w:b/>
          <w:spacing w:val="-3"/>
          <w:szCs w:val="24"/>
        </w:rPr>
        <w:t xml:space="preserve">FEDERAL FUNDS: If the source of funds for this </w:t>
      </w:r>
      <w:r w:rsidR="009A7CA3">
        <w:rPr>
          <w:rFonts w:asciiTheme="minorHAnsi" w:hAnsiTheme="minorHAnsi" w:cstheme="minorHAnsi"/>
          <w:b/>
          <w:spacing w:val="-3"/>
          <w:szCs w:val="24"/>
        </w:rPr>
        <w:t>contract</w:t>
      </w:r>
      <w:r w:rsidRPr="00FE4320">
        <w:rPr>
          <w:rFonts w:asciiTheme="minorHAnsi" w:hAnsiTheme="minorHAnsi" w:cstheme="minorHAnsi"/>
          <w:b/>
          <w:spacing w:val="-3"/>
          <w:szCs w:val="24"/>
        </w:rPr>
        <w:t xml:space="preserve"> is federal funds, </w:t>
      </w:r>
      <w:r w:rsidRPr="00FE4320">
        <w:rPr>
          <w:rFonts w:asciiTheme="minorHAnsi" w:hAnsiTheme="minorHAnsi" w:cstheme="minorHAnsi"/>
          <w:b/>
          <w:szCs w:val="24"/>
        </w:rPr>
        <w:t xml:space="preserve">the following federal provisions apply </w:t>
      </w:r>
      <w:r w:rsidR="00F4730D" w:rsidRPr="00FE4320">
        <w:rPr>
          <w:rFonts w:asciiTheme="minorHAnsi" w:hAnsiTheme="minorHAnsi" w:cstheme="minorHAnsi"/>
          <w:b/>
          <w:szCs w:val="24"/>
        </w:rPr>
        <w:t>pursuant to 2 C.F.R. § 200.326 and 2 C.F.R. Part 200, Appendix II</w:t>
      </w:r>
      <w:r w:rsidR="009A7CA3">
        <w:rPr>
          <w:rFonts w:asciiTheme="minorHAnsi" w:hAnsiTheme="minorHAnsi" w:cstheme="minorHAnsi"/>
          <w:b/>
          <w:szCs w:val="24"/>
        </w:rPr>
        <w:t xml:space="preserve"> (as applicable):</w:t>
      </w:r>
    </w:p>
    <w:p w:rsidR="003B16B1" w:rsidRPr="00FE4320" w:rsidRDefault="003B16B1" w:rsidP="003B16B1">
      <w:pPr>
        <w:rPr>
          <w:rFonts w:asciiTheme="minorHAnsi" w:hAnsiTheme="minorHAnsi" w:cstheme="minorHAnsi"/>
          <w:b/>
          <w:spacing w:val="-3"/>
          <w:szCs w:val="18"/>
        </w:rPr>
      </w:pPr>
    </w:p>
    <w:p w:rsidR="003B16B1" w:rsidRPr="00FE4320" w:rsidRDefault="003B16B1" w:rsidP="003B16B1">
      <w:pPr>
        <w:autoSpaceDE w:val="0"/>
        <w:autoSpaceDN w:val="0"/>
        <w:adjustRightInd w:val="0"/>
        <w:rPr>
          <w:rFonts w:asciiTheme="minorHAnsi" w:hAnsiTheme="minorHAnsi" w:cstheme="minorHAnsi"/>
          <w:szCs w:val="18"/>
        </w:rPr>
      </w:pPr>
      <w:r w:rsidRPr="00FE4320">
        <w:rPr>
          <w:rFonts w:asciiTheme="minorHAnsi" w:hAnsiTheme="minorHAnsi" w:cstheme="minorHAnsi"/>
          <w:spacing w:val="-1"/>
          <w:szCs w:val="18"/>
        </w:rPr>
        <w:t>Equal</w:t>
      </w:r>
      <w:r w:rsidRPr="00FE4320">
        <w:rPr>
          <w:rFonts w:asciiTheme="minorHAnsi" w:hAnsiTheme="minorHAnsi" w:cstheme="minorHAnsi"/>
          <w:spacing w:val="1"/>
          <w:szCs w:val="18"/>
        </w:rPr>
        <w:t xml:space="preserve"> </w:t>
      </w:r>
      <w:r w:rsidRPr="00FE4320">
        <w:rPr>
          <w:rFonts w:asciiTheme="minorHAnsi" w:hAnsiTheme="minorHAnsi" w:cstheme="minorHAnsi"/>
          <w:spacing w:val="-1"/>
          <w:szCs w:val="18"/>
        </w:rPr>
        <w:t>Employment</w:t>
      </w:r>
      <w:r w:rsidRPr="00FE4320">
        <w:rPr>
          <w:rFonts w:asciiTheme="minorHAnsi" w:hAnsiTheme="minorHAnsi" w:cstheme="minorHAnsi"/>
          <w:spacing w:val="-2"/>
          <w:szCs w:val="18"/>
        </w:rPr>
        <w:t xml:space="preserve"> </w:t>
      </w:r>
      <w:r w:rsidRPr="00FE4320">
        <w:rPr>
          <w:rFonts w:asciiTheme="minorHAnsi" w:hAnsiTheme="minorHAnsi" w:cstheme="minorHAnsi"/>
          <w:spacing w:val="-1"/>
          <w:szCs w:val="18"/>
        </w:rPr>
        <w:t>Opportunity (41 C.F.R. Part 60); Davis-Bacon Act</w:t>
      </w:r>
      <w:r w:rsidRPr="00FE4320">
        <w:rPr>
          <w:rFonts w:asciiTheme="minorHAnsi" w:hAnsiTheme="minorHAnsi" w:cstheme="minorHAnsi"/>
          <w:spacing w:val="-3"/>
          <w:szCs w:val="18"/>
        </w:rPr>
        <w:t xml:space="preserve"> </w:t>
      </w:r>
      <w:r w:rsidRPr="00FE4320">
        <w:rPr>
          <w:rFonts w:asciiTheme="minorHAnsi" w:hAnsiTheme="minorHAnsi" w:cstheme="minorHAnsi"/>
          <w:szCs w:val="18"/>
        </w:rPr>
        <w:t xml:space="preserve">(40 </w:t>
      </w:r>
      <w:r w:rsidRPr="00FE4320">
        <w:rPr>
          <w:rFonts w:asciiTheme="minorHAnsi" w:hAnsiTheme="minorHAnsi" w:cstheme="minorHAnsi"/>
          <w:spacing w:val="-1"/>
          <w:szCs w:val="18"/>
        </w:rPr>
        <w:t>U.S.C.</w:t>
      </w:r>
      <w:r w:rsidRPr="00FE4320">
        <w:rPr>
          <w:rFonts w:asciiTheme="minorHAnsi" w:hAnsiTheme="minorHAnsi" w:cstheme="minorHAnsi"/>
          <w:szCs w:val="18"/>
        </w:rPr>
        <w:t xml:space="preserve"> </w:t>
      </w:r>
      <w:r w:rsidRPr="00FE4320">
        <w:rPr>
          <w:rFonts w:asciiTheme="minorHAnsi" w:hAnsiTheme="minorHAnsi" w:cstheme="minorHAnsi"/>
          <w:spacing w:val="-1"/>
          <w:szCs w:val="18"/>
        </w:rPr>
        <w:t>3141-3148); Copeland “Anti-Kickback” Act (40 U.S.C. 3145); Contract</w:t>
      </w:r>
      <w:r w:rsidRPr="00FE4320">
        <w:rPr>
          <w:rFonts w:asciiTheme="minorHAnsi" w:hAnsiTheme="minorHAnsi" w:cstheme="minorHAnsi"/>
          <w:spacing w:val="1"/>
          <w:szCs w:val="18"/>
        </w:rPr>
        <w:t xml:space="preserve"> </w:t>
      </w:r>
      <w:r w:rsidRPr="00FE4320">
        <w:rPr>
          <w:rFonts w:asciiTheme="minorHAnsi" w:hAnsiTheme="minorHAnsi" w:cstheme="minorHAnsi"/>
          <w:szCs w:val="18"/>
        </w:rPr>
        <w:t>Work</w:t>
      </w:r>
      <w:r w:rsidRPr="00FE4320">
        <w:rPr>
          <w:rFonts w:asciiTheme="minorHAnsi" w:hAnsiTheme="minorHAnsi" w:cstheme="minorHAnsi"/>
          <w:spacing w:val="-3"/>
          <w:szCs w:val="18"/>
        </w:rPr>
        <w:t xml:space="preserve"> </w:t>
      </w:r>
      <w:r w:rsidRPr="00FE4320">
        <w:rPr>
          <w:rFonts w:asciiTheme="minorHAnsi" w:hAnsiTheme="minorHAnsi" w:cstheme="minorHAnsi"/>
          <w:spacing w:val="-1"/>
          <w:szCs w:val="18"/>
        </w:rPr>
        <w:t>Hours</w:t>
      </w:r>
      <w:r w:rsidRPr="00FE4320">
        <w:rPr>
          <w:rFonts w:asciiTheme="minorHAnsi" w:hAnsiTheme="minorHAnsi" w:cstheme="minorHAnsi"/>
          <w:spacing w:val="-2"/>
          <w:szCs w:val="18"/>
        </w:rPr>
        <w:t xml:space="preserve"> </w:t>
      </w:r>
      <w:r w:rsidRPr="00FE4320">
        <w:rPr>
          <w:rFonts w:asciiTheme="minorHAnsi" w:hAnsiTheme="minorHAnsi" w:cstheme="minorHAnsi"/>
          <w:spacing w:val="-1"/>
          <w:szCs w:val="18"/>
        </w:rPr>
        <w:t>and Safety</w:t>
      </w:r>
      <w:r w:rsidRPr="00FE4320">
        <w:rPr>
          <w:rFonts w:asciiTheme="minorHAnsi" w:hAnsiTheme="minorHAnsi" w:cstheme="minorHAnsi"/>
          <w:szCs w:val="18"/>
        </w:rPr>
        <w:t xml:space="preserve"> </w:t>
      </w:r>
      <w:r w:rsidRPr="00FE4320">
        <w:rPr>
          <w:rFonts w:asciiTheme="minorHAnsi" w:hAnsiTheme="minorHAnsi" w:cstheme="minorHAnsi"/>
          <w:spacing w:val="-1"/>
          <w:szCs w:val="18"/>
        </w:rPr>
        <w:t>Standards</w:t>
      </w:r>
      <w:r w:rsidRPr="00FE4320">
        <w:rPr>
          <w:rFonts w:asciiTheme="minorHAnsi" w:hAnsiTheme="minorHAnsi" w:cstheme="minorHAnsi"/>
          <w:szCs w:val="18"/>
        </w:rPr>
        <w:t xml:space="preserve"> </w:t>
      </w:r>
      <w:r w:rsidRPr="00FE4320">
        <w:rPr>
          <w:rFonts w:asciiTheme="minorHAnsi" w:hAnsiTheme="minorHAnsi" w:cstheme="minorHAnsi"/>
          <w:spacing w:val="-2"/>
          <w:szCs w:val="18"/>
        </w:rPr>
        <w:t>Act</w:t>
      </w:r>
      <w:r w:rsidRPr="00FE4320">
        <w:rPr>
          <w:rFonts w:asciiTheme="minorHAnsi" w:hAnsiTheme="minorHAnsi" w:cstheme="minorHAnsi"/>
          <w:spacing w:val="1"/>
          <w:szCs w:val="18"/>
        </w:rPr>
        <w:t xml:space="preserve"> </w:t>
      </w:r>
      <w:r w:rsidRPr="00FE4320">
        <w:rPr>
          <w:rFonts w:asciiTheme="minorHAnsi" w:hAnsiTheme="minorHAnsi" w:cstheme="minorHAnsi"/>
          <w:szCs w:val="18"/>
        </w:rPr>
        <w:t xml:space="preserve">(40 </w:t>
      </w:r>
      <w:r w:rsidRPr="00FE4320">
        <w:rPr>
          <w:rFonts w:asciiTheme="minorHAnsi" w:hAnsiTheme="minorHAnsi" w:cstheme="minorHAnsi"/>
          <w:spacing w:val="-1"/>
          <w:szCs w:val="18"/>
        </w:rPr>
        <w:t>U.S.C.</w:t>
      </w:r>
      <w:r w:rsidRPr="00FE4320">
        <w:rPr>
          <w:rFonts w:asciiTheme="minorHAnsi" w:hAnsiTheme="minorHAnsi" w:cstheme="minorHAnsi"/>
          <w:spacing w:val="-3"/>
          <w:szCs w:val="18"/>
        </w:rPr>
        <w:t xml:space="preserve"> </w:t>
      </w:r>
      <w:r w:rsidRPr="00FE4320">
        <w:rPr>
          <w:rFonts w:asciiTheme="minorHAnsi" w:hAnsiTheme="minorHAnsi" w:cstheme="minorHAnsi"/>
          <w:spacing w:val="-1"/>
          <w:szCs w:val="18"/>
        </w:rPr>
        <w:t>3701-3708); Clean Air</w:t>
      </w:r>
      <w:r w:rsidRPr="00FE4320">
        <w:rPr>
          <w:rFonts w:asciiTheme="minorHAnsi" w:hAnsiTheme="minorHAnsi" w:cstheme="minorHAnsi"/>
          <w:szCs w:val="18"/>
        </w:rPr>
        <w:t xml:space="preserve"> </w:t>
      </w:r>
      <w:r w:rsidRPr="00FE4320">
        <w:rPr>
          <w:rFonts w:asciiTheme="minorHAnsi" w:hAnsiTheme="minorHAnsi" w:cstheme="minorHAnsi"/>
          <w:spacing w:val="-2"/>
          <w:szCs w:val="18"/>
        </w:rPr>
        <w:t>Act</w:t>
      </w:r>
      <w:r w:rsidRPr="00FE4320">
        <w:rPr>
          <w:rFonts w:asciiTheme="minorHAnsi" w:hAnsiTheme="minorHAnsi" w:cstheme="minorHAnsi"/>
          <w:spacing w:val="1"/>
          <w:szCs w:val="18"/>
        </w:rPr>
        <w:t xml:space="preserve"> </w:t>
      </w:r>
      <w:r w:rsidRPr="00FE4320">
        <w:rPr>
          <w:rFonts w:asciiTheme="minorHAnsi" w:hAnsiTheme="minorHAnsi" w:cstheme="minorHAnsi"/>
          <w:spacing w:val="-1"/>
          <w:szCs w:val="18"/>
        </w:rPr>
        <w:t>(42</w:t>
      </w:r>
      <w:r w:rsidRPr="00FE4320">
        <w:rPr>
          <w:rFonts w:asciiTheme="minorHAnsi" w:hAnsiTheme="minorHAnsi" w:cstheme="minorHAnsi"/>
          <w:szCs w:val="18"/>
        </w:rPr>
        <w:t xml:space="preserve"> </w:t>
      </w:r>
      <w:r w:rsidRPr="00FE4320">
        <w:rPr>
          <w:rFonts w:asciiTheme="minorHAnsi" w:hAnsiTheme="minorHAnsi" w:cstheme="minorHAnsi"/>
          <w:spacing w:val="-2"/>
          <w:szCs w:val="18"/>
        </w:rPr>
        <w:t>U.S.C.</w:t>
      </w:r>
      <w:r w:rsidRPr="00FE4320">
        <w:rPr>
          <w:rFonts w:asciiTheme="minorHAnsi" w:hAnsiTheme="minorHAnsi" w:cstheme="minorHAnsi"/>
          <w:szCs w:val="18"/>
        </w:rPr>
        <w:t xml:space="preserve"> </w:t>
      </w:r>
      <w:r w:rsidRPr="00FE4320">
        <w:rPr>
          <w:rFonts w:asciiTheme="minorHAnsi" w:hAnsiTheme="minorHAnsi" w:cstheme="minorHAnsi"/>
          <w:spacing w:val="-1"/>
          <w:szCs w:val="18"/>
        </w:rPr>
        <w:t>7401-7671q.)</w:t>
      </w:r>
      <w:r w:rsidRPr="00FE4320">
        <w:rPr>
          <w:rFonts w:asciiTheme="minorHAnsi" w:hAnsiTheme="minorHAnsi" w:cstheme="minorHAnsi"/>
          <w:spacing w:val="-2"/>
          <w:szCs w:val="18"/>
        </w:rPr>
        <w:t xml:space="preserve"> </w:t>
      </w:r>
      <w:r w:rsidRPr="00FE4320">
        <w:rPr>
          <w:rFonts w:asciiTheme="minorHAnsi" w:hAnsiTheme="minorHAnsi" w:cstheme="minorHAnsi"/>
          <w:spacing w:val="-1"/>
          <w:szCs w:val="18"/>
        </w:rPr>
        <w:t>and the</w:t>
      </w:r>
      <w:r w:rsidRPr="00FE4320">
        <w:rPr>
          <w:rFonts w:asciiTheme="minorHAnsi" w:hAnsiTheme="minorHAnsi" w:cstheme="minorHAnsi"/>
          <w:spacing w:val="-2"/>
          <w:szCs w:val="18"/>
        </w:rPr>
        <w:t xml:space="preserve"> </w:t>
      </w:r>
      <w:r w:rsidRPr="00FE4320">
        <w:rPr>
          <w:rFonts w:asciiTheme="minorHAnsi" w:hAnsiTheme="minorHAnsi" w:cstheme="minorHAnsi"/>
          <w:spacing w:val="-1"/>
          <w:szCs w:val="18"/>
        </w:rPr>
        <w:t>Federal</w:t>
      </w:r>
      <w:r w:rsidRPr="00FE4320">
        <w:rPr>
          <w:rFonts w:asciiTheme="minorHAnsi" w:hAnsiTheme="minorHAnsi" w:cstheme="minorHAnsi"/>
          <w:spacing w:val="1"/>
          <w:szCs w:val="18"/>
        </w:rPr>
        <w:t xml:space="preserve"> </w:t>
      </w:r>
      <w:r w:rsidRPr="00FE4320">
        <w:rPr>
          <w:rFonts w:asciiTheme="minorHAnsi" w:hAnsiTheme="minorHAnsi" w:cstheme="minorHAnsi"/>
          <w:spacing w:val="-1"/>
          <w:szCs w:val="18"/>
        </w:rPr>
        <w:t>Water</w:t>
      </w:r>
      <w:r w:rsidRPr="00FE4320">
        <w:rPr>
          <w:rFonts w:asciiTheme="minorHAnsi" w:hAnsiTheme="minorHAnsi" w:cstheme="minorHAnsi"/>
          <w:spacing w:val="-2"/>
          <w:szCs w:val="18"/>
        </w:rPr>
        <w:t xml:space="preserve"> </w:t>
      </w:r>
      <w:r w:rsidRPr="00FE4320">
        <w:rPr>
          <w:rFonts w:asciiTheme="minorHAnsi" w:hAnsiTheme="minorHAnsi" w:cstheme="minorHAnsi"/>
          <w:spacing w:val="-1"/>
          <w:szCs w:val="18"/>
        </w:rPr>
        <w:t>Pollution</w:t>
      </w:r>
      <w:r w:rsidRPr="00FE4320">
        <w:rPr>
          <w:rFonts w:asciiTheme="minorHAnsi" w:hAnsiTheme="minorHAnsi" w:cstheme="minorHAnsi"/>
          <w:spacing w:val="-3"/>
          <w:szCs w:val="18"/>
        </w:rPr>
        <w:t xml:space="preserve"> </w:t>
      </w:r>
      <w:r w:rsidRPr="00FE4320">
        <w:rPr>
          <w:rFonts w:asciiTheme="minorHAnsi" w:hAnsiTheme="minorHAnsi" w:cstheme="minorHAnsi"/>
          <w:spacing w:val="-1"/>
          <w:szCs w:val="18"/>
        </w:rPr>
        <w:t>Control</w:t>
      </w:r>
      <w:r w:rsidRPr="00FE4320">
        <w:rPr>
          <w:rFonts w:asciiTheme="minorHAnsi" w:hAnsiTheme="minorHAnsi" w:cstheme="minorHAnsi"/>
          <w:spacing w:val="-2"/>
          <w:szCs w:val="18"/>
        </w:rPr>
        <w:t xml:space="preserve"> </w:t>
      </w:r>
      <w:r w:rsidRPr="00FE4320">
        <w:rPr>
          <w:rFonts w:asciiTheme="minorHAnsi" w:hAnsiTheme="minorHAnsi" w:cstheme="minorHAnsi"/>
          <w:spacing w:val="-1"/>
          <w:szCs w:val="18"/>
        </w:rPr>
        <w:t>Act</w:t>
      </w:r>
      <w:r w:rsidRPr="00FE4320">
        <w:rPr>
          <w:rFonts w:asciiTheme="minorHAnsi" w:hAnsiTheme="minorHAnsi" w:cstheme="minorHAnsi"/>
          <w:spacing w:val="-2"/>
          <w:szCs w:val="18"/>
        </w:rPr>
        <w:t xml:space="preserve"> </w:t>
      </w:r>
      <w:r w:rsidRPr="00FE4320">
        <w:rPr>
          <w:rFonts w:asciiTheme="minorHAnsi" w:hAnsiTheme="minorHAnsi" w:cstheme="minorHAnsi"/>
          <w:szCs w:val="18"/>
        </w:rPr>
        <w:t xml:space="preserve">(33 </w:t>
      </w:r>
      <w:r w:rsidRPr="00FE4320">
        <w:rPr>
          <w:rFonts w:asciiTheme="minorHAnsi" w:hAnsiTheme="minorHAnsi" w:cstheme="minorHAnsi"/>
          <w:spacing w:val="-1"/>
          <w:szCs w:val="18"/>
        </w:rPr>
        <w:t>U.S.C.</w:t>
      </w:r>
      <w:r w:rsidRPr="00FE4320">
        <w:rPr>
          <w:rFonts w:asciiTheme="minorHAnsi" w:hAnsiTheme="minorHAnsi" w:cstheme="minorHAnsi"/>
          <w:szCs w:val="18"/>
        </w:rPr>
        <w:t xml:space="preserve"> </w:t>
      </w:r>
      <w:r w:rsidR="00F4730D" w:rsidRPr="00FE4320">
        <w:rPr>
          <w:rFonts w:asciiTheme="minorHAnsi" w:hAnsiTheme="minorHAnsi" w:cstheme="minorHAnsi"/>
          <w:spacing w:val="-1"/>
          <w:szCs w:val="18"/>
        </w:rPr>
        <w:t>1251-1387)</w:t>
      </w:r>
      <w:r w:rsidRPr="00FE4320">
        <w:rPr>
          <w:rFonts w:asciiTheme="minorHAnsi" w:hAnsiTheme="minorHAnsi" w:cstheme="minorHAnsi"/>
          <w:spacing w:val="-1"/>
          <w:szCs w:val="18"/>
        </w:rPr>
        <w:t>; Debarment</w:t>
      </w:r>
      <w:r w:rsidRPr="00FE4320">
        <w:rPr>
          <w:rFonts w:asciiTheme="minorHAnsi" w:hAnsiTheme="minorHAnsi" w:cstheme="minorHAnsi"/>
          <w:spacing w:val="1"/>
          <w:szCs w:val="18"/>
        </w:rPr>
        <w:t xml:space="preserve"> </w:t>
      </w:r>
      <w:r w:rsidRPr="00FE4320">
        <w:rPr>
          <w:rFonts w:asciiTheme="minorHAnsi" w:hAnsiTheme="minorHAnsi" w:cstheme="minorHAnsi"/>
          <w:spacing w:val="-1"/>
          <w:szCs w:val="18"/>
        </w:rPr>
        <w:t>and Suspension</w:t>
      </w:r>
      <w:r w:rsidRPr="00FE4320">
        <w:rPr>
          <w:rFonts w:asciiTheme="minorHAnsi" w:hAnsiTheme="minorHAnsi" w:cstheme="minorHAnsi"/>
          <w:spacing w:val="-3"/>
          <w:szCs w:val="18"/>
        </w:rPr>
        <w:t xml:space="preserve"> </w:t>
      </w:r>
      <w:r w:rsidRPr="00FE4320">
        <w:rPr>
          <w:rFonts w:asciiTheme="minorHAnsi" w:hAnsiTheme="minorHAnsi" w:cstheme="minorHAnsi"/>
          <w:spacing w:val="-1"/>
          <w:szCs w:val="18"/>
        </w:rPr>
        <w:t>(Executive</w:t>
      </w:r>
      <w:r w:rsidRPr="00FE4320">
        <w:rPr>
          <w:rFonts w:asciiTheme="minorHAnsi" w:hAnsiTheme="minorHAnsi" w:cstheme="minorHAnsi"/>
          <w:spacing w:val="-2"/>
          <w:szCs w:val="18"/>
        </w:rPr>
        <w:t xml:space="preserve"> </w:t>
      </w:r>
      <w:r w:rsidRPr="00FE4320">
        <w:rPr>
          <w:rFonts w:asciiTheme="minorHAnsi" w:hAnsiTheme="minorHAnsi" w:cstheme="minorHAnsi"/>
          <w:spacing w:val="-1"/>
          <w:szCs w:val="18"/>
        </w:rPr>
        <w:t>Orders</w:t>
      </w:r>
      <w:r w:rsidRPr="00FE4320">
        <w:rPr>
          <w:rFonts w:asciiTheme="minorHAnsi" w:hAnsiTheme="minorHAnsi" w:cstheme="minorHAnsi"/>
          <w:szCs w:val="18"/>
        </w:rPr>
        <w:t xml:space="preserve"> </w:t>
      </w:r>
      <w:r w:rsidRPr="00FE4320">
        <w:rPr>
          <w:rFonts w:asciiTheme="minorHAnsi" w:hAnsiTheme="minorHAnsi" w:cstheme="minorHAnsi"/>
          <w:spacing w:val="-1"/>
          <w:szCs w:val="18"/>
        </w:rPr>
        <w:t>12549</w:t>
      </w:r>
      <w:r w:rsidRPr="00FE4320">
        <w:rPr>
          <w:rFonts w:asciiTheme="minorHAnsi" w:hAnsiTheme="minorHAnsi" w:cstheme="minorHAnsi"/>
          <w:szCs w:val="18"/>
        </w:rPr>
        <w:t xml:space="preserve"> </w:t>
      </w:r>
      <w:r w:rsidRPr="00FE4320">
        <w:rPr>
          <w:rFonts w:asciiTheme="minorHAnsi" w:hAnsiTheme="minorHAnsi" w:cstheme="minorHAnsi"/>
          <w:spacing w:val="-1"/>
          <w:szCs w:val="18"/>
        </w:rPr>
        <w:t>and 12689); Byrd</w:t>
      </w:r>
      <w:r w:rsidRPr="00FE4320">
        <w:rPr>
          <w:rFonts w:asciiTheme="minorHAnsi" w:hAnsiTheme="minorHAnsi" w:cstheme="minorHAnsi"/>
          <w:spacing w:val="-3"/>
          <w:szCs w:val="18"/>
        </w:rPr>
        <w:t xml:space="preserve"> </w:t>
      </w:r>
      <w:r w:rsidRPr="00FE4320">
        <w:rPr>
          <w:rFonts w:asciiTheme="minorHAnsi" w:hAnsiTheme="minorHAnsi" w:cstheme="minorHAnsi"/>
          <w:spacing w:val="-1"/>
          <w:szCs w:val="18"/>
        </w:rPr>
        <w:t>Anti-Lobbying</w:t>
      </w:r>
      <w:r w:rsidRPr="00FE4320">
        <w:rPr>
          <w:rFonts w:asciiTheme="minorHAnsi" w:hAnsiTheme="minorHAnsi" w:cstheme="minorHAnsi"/>
          <w:szCs w:val="18"/>
        </w:rPr>
        <w:t xml:space="preserve"> </w:t>
      </w:r>
      <w:r w:rsidRPr="00FE4320">
        <w:rPr>
          <w:rFonts w:asciiTheme="minorHAnsi" w:hAnsiTheme="minorHAnsi" w:cstheme="minorHAnsi"/>
          <w:spacing w:val="-1"/>
          <w:szCs w:val="18"/>
        </w:rPr>
        <w:t>Amendment</w:t>
      </w:r>
      <w:r w:rsidRPr="00FE4320">
        <w:rPr>
          <w:rFonts w:asciiTheme="minorHAnsi" w:hAnsiTheme="minorHAnsi" w:cstheme="minorHAnsi"/>
          <w:spacing w:val="-2"/>
          <w:szCs w:val="18"/>
        </w:rPr>
        <w:t xml:space="preserve"> </w:t>
      </w:r>
      <w:r w:rsidRPr="00FE4320">
        <w:rPr>
          <w:rFonts w:asciiTheme="minorHAnsi" w:hAnsiTheme="minorHAnsi" w:cstheme="minorHAnsi"/>
          <w:szCs w:val="18"/>
        </w:rPr>
        <w:t xml:space="preserve">(31 </w:t>
      </w:r>
      <w:r w:rsidRPr="00FE4320">
        <w:rPr>
          <w:rFonts w:asciiTheme="minorHAnsi" w:hAnsiTheme="minorHAnsi" w:cstheme="minorHAnsi"/>
          <w:spacing w:val="-1"/>
          <w:szCs w:val="18"/>
        </w:rPr>
        <w:t>U.S.C.</w:t>
      </w:r>
      <w:r w:rsidRPr="00FE4320">
        <w:rPr>
          <w:rFonts w:asciiTheme="minorHAnsi" w:hAnsiTheme="minorHAnsi" w:cstheme="minorHAnsi"/>
          <w:szCs w:val="18"/>
        </w:rPr>
        <w:t xml:space="preserve"> </w:t>
      </w:r>
      <w:r w:rsidRPr="00FE4320">
        <w:rPr>
          <w:rFonts w:asciiTheme="minorHAnsi" w:hAnsiTheme="minorHAnsi" w:cstheme="minorHAnsi"/>
          <w:spacing w:val="-1"/>
          <w:szCs w:val="18"/>
        </w:rPr>
        <w:t xml:space="preserve">1352); </w:t>
      </w:r>
      <w:r w:rsidR="00F4730D" w:rsidRPr="00FE4320">
        <w:rPr>
          <w:rFonts w:asciiTheme="minorHAnsi" w:hAnsiTheme="minorHAnsi" w:cstheme="minorHAnsi"/>
          <w:spacing w:val="-1"/>
          <w:szCs w:val="18"/>
        </w:rPr>
        <w:t>Procurement of Recovered Materials  (2 C.F.R. § 200.322);</w:t>
      </w:r>
      <w:r w:rsidR="009A7CA3">
        <w:rPr>
          <w:rFonts w:asciiTheme="minorHAnsi" w:hAnsiTheme="minorHAnsi" w:cstheme="minorHAnsi"/>
          <w:spacing w:val="-1"/>
          <w:szCs w:val="18"/>
        </w:rPr>
        <w:t xml:space="preserve"> and</w:t>
      </w:r>
      <w:r w:rsidR="00F4730D" w:rsidRPr="00FE4320">
        <w:rPr>
          <w:rFonts w:asciiTheme="minorHAnsi" w:hAnsiTheme="minorHAnsi" w:cstheme="minorHAnsi"/>
          <w:spacing w:val="-1"/>
          <w:szCs w:val="18"/>
        </w:rPr>
        <w:t xml:space="preserve"> </w:t>
      </w:r>
      <w:r w:rsidRPr="00FE4320">
        <w:rPr>
          <w:rFonts w:asciiTheme="minorHAnsi" w:hAnsiTheme="minorHAnsi" w:cstheme="minorHAnsi"/>
          <w:spacing w:val="-1"/>
          <w:szCs w:val="18"/>
        </w:rPr>
        <w:t>Record Retention Requirement</w:t>
      </w:r>
      <w:r w:rsidR="00F4730D" w:rsidRPr="00FE4320">
        <w:rPr>
          <w:rFonts w:asciiTheme="minorHAnsi" w:hAnsiTheme="minorHAnsi" w:cstheme="minorHAnsi"/>
          <w:spacing w:val="-1"/>
          <w:szCs w:val="18"/>
        </w:rPr>
        <w:t>s</w:t>
      </w:r>
      <w:r w:rsidRPr="00FE4320">
        <w:rPr>
          <w:rFonts w:asciiTheme="minorHAnsi" w:hAnsiTheme="minorHAnsi" w:cstheme="minorHAnsi"/>
          <w:spacing w:val="-1"/>
          <w:szCs w:val="18"/>
        </w:rPr>
        <w:t xml:space="preserve"> (</w:t>
      </w:r>
      <w:r w:rsidR="00F4730D" w:rsidRPr="00FE4320">
        <w:rPr>
          <w:rFonts w:asciiTheme="minorHAnsi" w:hAnsiTheme="minorHAnsi" w:cstheme="minorHAnsi"/>
          <w:smallCaps/>
          <w:spacing w:val="-1"/>
          <w:szCs w:val="18"/>
          <w:u w:color="000000"/>
        </w:rPr>
        <w:t>2 CFR § 200.324</w:t>
      </w:r>
      <w:r w:rsidRPr="00FE4320">
        <w:rPr>
          <w:rFonts w:asciiTheme="minorHAnsi" w:hAnsiTheme="minorHAnsi" w:cstheme="minorHAnsi"/>
          <w:smallCaps/>
          <w:spacing w:val="-1"/>
          <w:szCs w:val="18"/>
          <w:u w:color="000000"/>
        </w:rPr>
        <w:t>)</w:t>
      </w:r>
    </w:p>
    <w:p w:rsidR="000D1538" w:rsidRPr="00FE4320" w:rsidRDefault="000D1538">
      <w:pPr>
        <w:rPr>
          <w:rFonts w:asciiTheme="minorHAnsi" w:hAnsiTheme="minorHAnsi" w:cstheme="minorHAnsi"/>
          <w:sz w:val="36"/>
        </w:rPr>
      </w:pPr>
    </w:p>
    <w:sectPr w:rsidR="000D1538" w:rsidRPr="00FE4320" w:rsidSect="0081686F">
      <w:headerReference w:type="default" r:id="rId6"/>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1B" w:rsidRDefault="00810F1B" w:rsidP="00810F1B">
      <w:r>
        <w:separator/>
      </w:r>
    </w:p>
  </w:endnote>
  <w:endnote w:type="continuationSeparator" w:id="0">
    <w:p w:rsidR="00810F1B" w:rsidRDefault="00810F1B" w:rsidP="0081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6F" w:rsidRDefault="0081686F" w:rsidP="0081686F">
    <w:pPr>
      <w:pStyle w:val="Footer"/>
      <w:pBdr>
        <w:top w:val="single" w:sz="4" w:space="1" w:color="auto"/>
      </w:pBdr>
      <w:rPr>
        <w:rFonts w:asciiTheme="minorHAnsi" w:hAnsiTheme="minorHAnsi" w:cstheme="minorHAnsi"/>
        <w:sz w:val="20"/>
      </w:rPr>
    </w:pPr>
    <w:r>
      <w:rPr>
        <w:rFonts w:asciiTheme="minorHAnsi" w:hAnsiTheme="minorHAnsi" w:cstheme="minorHAnsi"/>
        <w:sz w:val="20"/>
      </w:rPr>
      <w:t>Sample Uniform Guidance “short form” contract provisions</w:t>
    </w:r>
  </w:p>
  <w:p w:rsidR="0081686F" w:rsidRPr="0081686F" w:rsidRDefault="0081686F">
    <w:pPr>
      <w:pStyle w:val="Footer"/>
      <w:rPr>
        <w:rFonts w:asciiTheme="minorHAnsi" w:hAnsiTheme="minorHAnsi" w:cstheme="minorHAnsi"/>
        <w:sz w:val="20"/>
      </w:rPr>
    </w:pPr>
    <w:r>
      <w:rPr>
        <w:rFonts w:asciiTheme="minorHAnsi" w:hAnsiTheme="minorHAnsi" w:cstheme="minorHAnsi"/>
        <w:sz w:val="20"/>
      </w:rPr>
      <w:t>Prepared By:  Norma Houston, UNC School of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1B" w:rsidRDefault="00810F1B" w:rsidP="00810F1B">
      <w:r>
        <w:separator/>
      </w:r>
    </w:p>
  </w:footnote>
  <w:footnote w:type="continuationSeparator" w:id="0">
    <w:p w:rsidR="00810F1B" w:rsidRDefault="00810F1B" w:rsidP="0081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1B" w:rsidRDefault="00810F1B">
    <w:pPr>
      <w:pStyle w:val="Header"/>
    </w:pPr>
    <w:r w:rsidRPr="00810F1B">
      <w:rPr>
        <w:rFonts w:ascii="Calibri" w:eastAsia="Calibri" w:hAnsi="Calibri"/>
        <w:noProof/>
        <w:sz w:val="22"/>
        <w:szCs w:val="22"/>
      </w:rPr>
      <w:drawing>
        <wp:anchor distT="0" distB="0" distL="114300" distR="114300" simplePos="0" relativeHeight="251659264" behindDoc="1" locked="0" layoutInCell="1" allowOverlap="1" wp14:anchorId="239182FA" wp14:editId="205A7874">
          <wp:simplePos x="0" y="0"/>
          <wp:positionH relativeFrom="column">
            <wp:posOffset>-927100</wp:posOffset>
          </wp:positionH>
          <wp:positionV relativeFrom="paragraph">
            <wp:posOffset>-666750</wp:posOffset>
          </wp:positionV>
          <wp:extent cx="7874000" cy="1353185"/>
          <wp:effectExtent l="0" t="0" r="0" b="0"/>
          <wp:wrapNone/>
          <wp:docPr id="4" name="Picture 4" descr="2010028_SOG_TopBarTemplate redesign_3b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0028_SOG_TopBarTemplate redesign_3blee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353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B1"/>
    <w:rsid w:val="000D1538"/>
    <w:rsid w:val="003B16B1"/>
    <w:rsid w:val="00810F1B"/>
    <w:rsid w:val="0081686F"/>
    <w:rsid w:val="009A7CA3"/>
    <w:rsid w:val="00F4730D"/>
    <w:rsid w:val="00FE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D6CB"/>
  <w15:chartTrackingRefBased/>
  <w15:docId w15:val="{46406B8F-93A6-4CDE-8364-33C8D91E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16B1"/>
    <w:pPr>
      <w:spacing w:after="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uiPriority w:val="99"/>
    <w:qFormat/>
    <w:rsid w:val="00FE4320"/>
    <w:pPr>
      <w:numPr>
        <w:ilvl w:val="12"/>
      </w:numPr>
      <w:autoSpaceDE w:val="0"/>
      <w:autoSpaceDN w:val="0"/>
      <w:jc w:val="left"/>
      <w:outlineLvl w:val="1"/>
    </w:pPr>
    <w:rPr>
      <w:rFonts w:ascii="Calibri" w:hAnsi="Calibri"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F1B"/>
    <w:pPr>
      <w:tabs>
        <w:tab w:val="center" w:pos="4680"/>
        <w:tab w:val="right" w:pos="9360"/>
      </w:tabs>
    </w:pPr>
  </w:style>
  <w:style w:type="character" w:customStyle="1" w:styleId="HeaderChar">
    <w:name w:val="Header Char"/>
    <w:basedOn w:val="DefaultParagraphFont"/>
    <w:link w:val="Header"/>
    <w:uiPriority w:val="99"/>
    <w:rsid w:val="00810F1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10F1B"/>
    <w:pPr>
      <w:tabs>
        <w:tab w:val="center" w:pos="4680"/>
        <w:tab w:val="right" w:pos="9360"/>
      </w:tabs>
    </w:pPr>
  </w:style>
  <w:style w:type="character" w:customStyle="1" w:styleId="FooterChar">
    <w:name w:val="Footer Char"/>
    <w:basedOn w:val="DefaultParagraphFont"/>
    <w:link w:val="Footer"/>
    <w:uiPriority w:val="99"/>
    <w:rsid w:val="00810F1B"/>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9"/>
    <w:rsid w:val="00FE4320"/>
    <w:rPr>
      <w:rFonts w:ascii="Calibri" w:eastAsia="Times New Roman" w:hAnsi="Calibri"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Norma</dc:creator>
  <cp:keywords/>
  <dc:description/>
  <cp:lastModifiedBy>Houston, Norma</cp:lastModifiedBy>
  <cp:revision>4</cp:revision>
  <dcterms:created xsi:type="dcterms:W3CDTF">2018-04-22T15:25:00Z</dcterms:created>
  <dcterms:modified xsi:type="dcterms:W3CDTF">2018-04-22T15:52:00Z</dcterms:modified>
</cp:coreProperties>
</file>